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200" w:line="260" w:lineRule="auto"/>
      </w:pPr>
      <w:r>
        <w:rPr>
          <w:rFonts w:ascii="Schibsted Grotesk" w:hAnsi="Schibsted Grotesk"/>
          <w:b/>
          <w:sz w:val="40"/>
          <w:color w:val="121B17"/>
        </w:rPr>
        <w:t xml:space="preserve">Umowa o współpracy: dokument roboczy</w:t>
      </w:r>
    </w:p>
    <w:p>
      <w:pPr>
        <w:spacing w:after="240" w:line="300" w:lineRule="auto"/>
        <w:ind w:left="340"/>
        <w:pBdr>
          <w:left w:val="single" w:sz="18" w:space="8" w:color="156446"/>
        </w:pBdr>
      </w:pPr>
      <w:r>
        <w:rPr>
          <w:rFonts w:ascii="Schibsted Grotesk" w:hAnsi="Schibsted Grotesk"/>
          <w:sz w:val="19"/>
          <w:color w:val="4B5952"/>
        </w:rPr>
        <w:t xml:space="preserve">Szablon opublikowany przez Zapolu s.r.o. (zapolu.com) na licencji CC BY 4.0: można go użyć z Zapolu lub z dowolnym innym wykonawcą, komercyjnie i niekomercyjnie, o ile zostanie zachowane oznaczenie autorstwa na końcu. To umowa robocza, nie porada prawna; części kontraktowe warto przekazać do weryfikacji radcy prawnemu. Wersja szablonu 1.0, 1 sierpnia 2026. Aktualna wersja jest pod adresem </w:t>
      </w:r>
      <w:hyperlink r:id="rIdLink0">
        <w:r>
          <w:rPr>
            <w:rFonts w:ascii="Schibsted Grotesk" w:hAnsi="Schibsted Grotesk"/>
            <w:u w:val="single"/>
            <w:sz w:val="19"/>
            <w:color w:val="156446"/>
          </w:rPr>
          <w:t xml:space="preserve">zapolu.com/downloads</w:t>
        </w:r>
      </w:hyperlink>
      <w:r>
        <w:rPr>
          <w:rFonts w:ascii="Schibsted Grotesk" w:hAnsi="Schibsted Grotesk"/>
          <w:sz w:val="19"/>
          <w:color w:val="4B5952"/>
        </w:rPr>
        <w:t xml:space="preserve">.</w:t>
      </w:r>
    </w:p>
    <w:p>
      <w:pPr>
        <w:spacing w:after="160" w:line="300" w:lineRule="auto"/>
      </w:pPr>
      <w:r>
        <w:rPr>
          <w:rFonts w:ascii="Schibsted Grotesk" w:hAnsi="Schibsted Grotesk"/>
          <w:sz w:val="21"/>
          <w:color w:val="121B17"/>
        </w:rPr>
        <w:t xml:space="preserve">Tam, gdzie ten szablon zostawia puste miejsce, podaje zalecaną wartość domyślną albo przykład. Zmień wartość domyślną świadomie, gdy nie pasuje, zamiast zostawiać puste miejsce.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1. Zakres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Co robimy: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jeden akapit, prostym językiem. Zakres, którego nie da się opisać w jednym akapicie, należy podzielić na dwie współprace.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Czego wprost nie robimy: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wypisz to, co bez tego zapisu czytelnik uznałby za wliczone w cenę.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Kryteria sukcesu: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mierzalne, uzgodnione przed rozpoczęciem prac. Przykład: „LCP checkoutu ≤ 1,5 s na p75 z danych z realnego ruchu”, nie „strona wydaje się szybsza”.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2. Ludzie i podwykonawcy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Osoba kontaktowa klienta ds. technicznych: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imię i nazwisko</w:t>
      </w:r>
      <w:r>
        <w:rPr>
          <w:rFonts w:ascii="Schibsted Grotesk" w:hAnsi="Schibsted Grotesk"/>
          <w:sz w:val="21"/>
          <w:color w:val="121B17"/>
        </w:rPr>
        <w:t xml:space="preserve">. Ma uprawnienia do samodzielnego decydowania oraz zarezerwowany budżet 1–2 h tygodniowo na tę współpracę.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Inżynierowie wykonawcy w tej współpracy: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nazwiska</w:t>
      </w:r>
      <w:r>
        <w:rPr>
          <w:rFonts w:ascii="Schibsted Grotesk" w:hAnsi="Schibsted Grotesk"/>
          <w:sz w:val="21"/>
          <w:color w:val="121B17"/>
        </w:rPr>
        <w:t xml:space="preserve">. Wymienieni inżynierowie piszą kod i uczestniczą w spotkaniach. Zmiana składu wymaga pisemnej zgody klienta.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Podwykonawcy są wskazywani z góry albo nie są angażowani. Zalecana wartość domyślna: żadnych bez pisemnej zgody. Podwykonawcę wiąże każde postanowienie tej umowy, a za jego pracę odpowiada wykonawca.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3. Rytm pracy i przejrzystość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Praca odbywa się w </w:t>
      </w:r>
      <w:r>
        <w:rPr>
          <w:rFonts w:ascii="Schibsted Grotesk" w:hAnsi="Schibsted Grotesk"/>
          <w:b/>
          <w:sz w:val="21"/>
          <w:color w:val="121B17"/>
        </w:rPr>
        <w:t xml:space="preserve">repozytorium i organizacji klienta</w:t>
      </w:r>
      <w:r>
        <w:rPr>
          <w:rFonts w:ascii="Schibsted Grotesk" w:hAnsi="Schibsted Grotesk"/>
          <w:sz w:val="21"/>
          <w:color w:val="121B17"/>
        </w:rPr>
        <w:t xml:space="preserve">, w małych, łatwych do zweryfikowania pull requestach, od pierwszego dnia.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Cotygodniowy pisemny check-in</w:t>
      </w:r>
      <w:r>
        <w:rPr>
          <w:rFonts w:ascii="Schibsted Grotesk" w:hAnsi="Schibsted Grotesk"/>
          <w:sz w:val="21"/>
          <w:color w:val="121B17"/>
        </w:rPr>
        <w:t xml:space="preserve"> (zrobione / następne / zablokowane / potrzebne decyzje), dostarczany co tydzień, również w tygodniach z niekorzystnymi wynikami.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Spotkania statusowe odbywają się tylko z agendą; domyślnie zastępuje je pisemny check-in.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4. Warunki handlowe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Model: </w:t>
      </w:r>
      <w:r>
        <w:rPr>
          <w:rFonts w:ascii="Schibsted Grotesk" w:hAnsi="Schibsted Grotesk"/>
          <w:i/>
          <w:sz w:val="21"/>
          <w:color w:val="121B17"/>
        </w:rPr>
        <w:t xml:space="preserve">stała cena / rozliczenie tygodniowe z limitem / miesięczny retainer z określoną liczbą godzin</w:t>
      </w:r>
      <w:r>
        <w:rPr>
          <w:rFonts w:ascii="Schibsted Grotesk" w:hAnsi="Schibsted Grotesk"/>
          <w:sz w:val="21"/>
          <w:color w:val="121B17"/>
        </w:rPr>
        <w:t xml:space="preserve"> (wybierz jeden; modele mieszane per faza są dopuszczalne).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Zmiany zakresu są spisywane, wyceniane i zatwierdzane przed rozpoczęciem pracy; faktury nie zawierają pozycji niezatwierdzonych wcześniej.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Warunki płatności: </w:t>
      </w:r>
      <w:r>
        <w:rPr>
          <w:rFonts w:ascii="Schibsted Grotesk" w:hAnsi="Schibsted Grotesk"/>
          <w:i/>
          <w:sz w:val="21"/>
          <w:color w:val="121B17"/>
        </w:rPr>
        <w:t xml:space="preserve">14 dni netto</w:t>
      </w:r>
      <w:r>
        <w:rPr>
          <w:rFonts w:ascii="Schibsted Grotesk" w:hAnsi="Schibsted Grotesk"/>
          <w:sz w:val="21"/>
          <w:color w:val="121B17"/>
        </w:rPr>
        <w:t xml:space="preserve"> (zalecana wartość domyślna). Praca wstrzymuje się po pisemnym powiadomieniu, jeśli termin płatności bezspornej faktury został przekroczony o 14 dni.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Koszty (podróże, licencje, usługi zewnętrzne) są fakturowane po kosztach własnych. Zalecana wartość domyślna: żadnych bez wcześniejszej pisemnej zgody.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5. Odbiór i wady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Odbioru dokonuje się na podstawie kryteriów sukcesu z rozdziału 1, a nie subiektywnego wrażenia.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Klient ma od przekazania </w:t>
      </w:r>
      <w:r>
        <w:rPr>
          <w:rFonts w:ascii="Schibsted Grotesk" w:hAnsi="Schibsted Grotesk"/>
          <w:i/>
          <w:sz w:val="21"/>
          <w:color w:val="121B17"/>
        </w:rPr>
        <w:t xml:space="preserve">10 dni roboczych</w:t>
      </w:r>
      <w:r>
        <w:rPr>
          <w:rFonts w:ascii="Schibsted Grotesk" w:hAnsi="Schibsted Grotesk"/>
          <w:sz w:val="21"/>
          <w:color w:val="121B17"/>
        </w:rPr>
        <w:t xml:space="preserve"> (zalecana wartość domyślna) na odbiór albo na pisemne wskazanie, które kryterium nie jest spełnione. Po tym okresie pracę uznaje się za odebraną.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Wady obecne już przy przekazaniu są usuwane bezpłatnie przez </w:t>
      </w:r>
      <w:r>
        <w:rPr>
          <w:rFonts w:ascii="Schibsted Grotesk" w:hAnsi="Schibsted Grotesk"/>
          <w:i/>
          <w:sz w:val="21"/>
          <w:color w:val="121B17"/>
        </w:rPr>
        <w:t xml:space="preserve">90 dni</w:t>
      </w:r>
      <w:r>
        <w:rPr>
          <w:rFonts w:ascii="Schibsted Grotesk" w:hAnsi="Schibsted Grotesk"/>
          <w:sz w:val="21"/>
          <w:color w:val="121B17"/>
        </w:rPr>
        <w:t xml:space="preserve"> (zalecana wartość domyślna). Zmiana zakresu jest traktowana jako zmiana zgodnie z rozdziałem 4, a nie jako wada.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6. Własność, prawa istniejące i wyjście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Cały kod, konfiguracja i dokumentacja powstałe na potrzeby tej współpracy należą do klienta </w:t>
      </w:r>
      <w:r>
        <w:rPr>
          <w:rFonts w:ascii="Schibsted Grotesk" w:hAnsi="Schibsted Grotesk"/>
          <w:b/>
          <w:sz w:val="21"/>
          <w:color w:val="121B17"/>
        </w:rPr>
        <w:t xml:space="preserve">od pierwszej opłaconej faktury</w:t>
      </w:r>
      <w:r>
        <w:rPr>
          <w:rFonts w:ascii="Schibsted Grotesk" w:hAnsi="Schibsted Grotesk"/>
          <w:sz w:val="21"/>
          <w:color w:val="121B17"/>
        </w:rPr>
        <w:t xml:space="preserve">. Repozytorium znajduje się w organizacji klienta; na koniec nie ma niczego do przekazania.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Komponenty open source i zewnętrzne zachowują własne licencje. Wykonawca prowadzi ich listę, utrzymuje je w zgodzie z tym, jak klient korzysta z dzieła, i nie dodaje do kodu własnościowego zależności na licencji copyleft bez pisemnej zgody.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Materiały własne wykonawcy (wewnętrzne biblioteki, narzędzia, checklisty) pozostają jego własnością. Klient dostaje do niego bezterminową, zbywalną licencję na używanie, modyfikowanie i sublicencjonowanie jako części przekazanego dzieła.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Każda strona może zakończyć współpracę za </w:t>
      </w:r>
      <w:r>
        <w:rPr>
          <w:rFonts w:ascii="Schibsted Grotesk" w:hAnsi="Schibsted Grotesk"/>
          <w:i/>
          <w:sz w:val="21"/>
          <w:color w:val="121B17"/>
        </w:rPr>
        <w:t xml:space="preserve">dwutygodniowym</w:t>
      </w:r>
      <w:r>
        <w:rPr>
          <w:rFonts w:ascii="Schibsted Grotesk" w:hAnsi="Schibsted Grotesk"/>
          <w:sz w:val="21"/>
          <w:color w:val="121B17"/>
        </w:rPr>
        <w:t xml:space="preserve"> (zalecana wartość domyślna) pisemnym wypowiedzeniem. Klient zatrzymuje wszystko, co zostało opłacone, łącznie z pracą w toku.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7. Wdrożenia i rollback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Migracje i ryzykowne wdrożenia przebiegają </w:t>
      </w:r>
      <w:r>
        <w:rPr>
          <w:rFonts w:ascii="Schibsted Grotesk" w:hAnsi="Schibsted Grotesk"/>
          <w:b/>
          <w:sz w:val="21"/>
          <w:color w:val="121B17"/>
        </w:rPr>
        <w:t xml:space="preserve">równolegle / na ruchu cieniowym (shadow traffic)</w:t>
      </w:r>
      <w:r>
        <w:rPr>
          <w:rFonts w:ascii="Schibsted Grotesk" w:hAnsi="Schibsted Grotesk"/>
          <w:sz w:val="21"/>
          <w:color w:val="121B17"/>
        </w:rPr>
        <w:t xml:space="preserve">, gdzie to wykonalne; wdrożenie jednorazowe tylko wtedy, gdy nie ma innej możliwości.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Pisemna </w:t>
      </w:r>
      <w:r>
        <w:rPr>
          <w:rFonts w:ascii="Schibsted Grotesk" w:hAnsi="Schibsted Grotesk"/>
          <w:b/>
          <w:sz w:val="21"/>
          <w:color w:val="121B17"/>
        </w:rPr>
        <w:t xml:space="preserve">checklista go/no-go</w:t>
      </w:r>
      <w:r>
        <w:rPr>
          <w:rFonts w:ascii="Schibsted Grotesk" w:hAnsi="Schibsted Grotesk"/>
          <w:sz w:val="21"/>
          <w:color w:val="121B17"/>
        </w:rPr>
        <w:t xml:space="preserve"> jest podpisywana przez obie strony przed cutoverem.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Przetestowana ścieżka rollbacku pozostaje użyteczna przez </w:t>
      </w:r>
      <w:r>
        <w:rPr>
          <w:rFonts w:ascii="Schibsted Grotesk" w:hAnsi="Schibsted Grotesk"/>
          <w:b/>
          <w:sz w:val="21"/>
          <w:color w:val="121B17"/>
        </w:rPr>
        <w:t xml:space="preserve">30 dni</w:t>
      </w:r>
      <w:r>
        <w:rPr>
          <w:rFonts w:ascii="Schibsted Grotesk" w:hAnsi="Schibsted Grotesk"/>
          <w:sz w:val="21"/>
          <w:color w:val="121B17"/>
        </w:rPr>
        <w:t xml:space="preserve"> po wdrożeniu.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8. Obsługa incydentów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Incydenty produkcyjne: incydent zgłasza strona, która pierwsza go wykryje; wykonawca reaguje w </w:t>
      </w:r>
      <w:r>
        <w:rPr>
          <w:rFonts w:ascii="Schibsted Grotesk" w:hAnsi="Schibsted Grotesk"/>
          <w:i/>
          <w:sz w:val="21"/>
          <w:color w:val="121B17"/>
        </w:rPr>
        <w:t xml:space="preserve">4 godziny robocze, w dni robocze między 09:00 a 18:00 CET</w:t>
      </w:r>
      <w:r>
        <w:rPr>
          <w:rFonts w:ascii="Schibsted Grotesk" w:hAnsi="Schibsted Grotesk"/>
          <w:sz w:val="21"/>
          <w:color w:val="121B17"/>
        </w:rPr>
        <w:t xml:space="preserve"> (zalecana wartość domyślna). Węższe okno to płatny dyżur, uzgadniany osobno.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Każdy incydent kończy się pisemnym </w:t>
      </w:r>
      <w:r>
        <w:rPr>
          <w:rFonts w:ascii="Schibsted Grotesk" w:hAnsi="Schibsted Grotesk"/>
          <w:b/>
          <w:sz w:val="21"/>
          <w:color w:val="121B17"/>
        </w:rPr>
        <w:t xml:space="preserve">post-mortem bez szukania winnych</w:t>
      </w:r>
      <w:r>
        <w:rPr>
          <w:rFonts w:ascii="Schibsted Grotesk" w:hAnsi="Schibsted Grotesk"/>
          <w:sz w:val="21"/>
          <w:color w:val="121B17"/>
        </w:rPr>
        <w:t xml:space="preserve">: co się stało, co zrobiono i jakie zmiany zapobiegną powtórzeniu.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Przekroczenie szacowanego czasu zgłaszane jest w cotygodniowym check-inie, gdy tylko staje się znane, wraz z poprawionym planem.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9. Dostępy i dane logowania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Wykonawca dostaje minimalny dostęp niezbędny do wykonania pracy: zamawiany pisemnie, nadawany przez klienta i wystawiany na konkretną osobę. Żadnych współdzielonych kont.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Dane logowania przechodzą przez menedżer sekretów klienta albo inny szyfrowany kanał, nigdy przez e-mail ani czat.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Dane produkcyjne nie są kopiowane na maszyny deweloperskie. Tam, gdzie potrzebne są dane zbliżone do produkcyjnych, najpierw są anonimizowane.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Wszystkie dostępy wykonawcy są odbierane w ciągu </w:t>
      </w:r>
      <w:r>
        <w:rPr>
          <w:rFonts w:ascii="Schibsted Grotesk" w:hAnsi="Schibsted Grotesk"/>
          <w:i/>
          <w:sz w:val="21"/>
          <w:color w:val="121B17"/>
        </w:rPr>
        <w:t xml:space="preserve">5 dni roboczych</w:t>
      </w:r>
      <w:r>
        <w:rPr>
          <w:rFonts w:ascii="Schibsted Grotesk" w:hAnsi="Schibsted Grotesk"/>
          <w:sz w:val="21"/>
          <w:color w:val="121B17"/>
        </w:rPr>
        <w:t xml:space="preserve"> (zalecana wartość domyślna) od zakończenia współpracy, a klient potwierdza odebranie na piśmie.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10. Poufność i ochrona danych osobowych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Obustronne NDA obowiązuje w obu kierunkach i obejmuje dane biznesowe.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Jeśli wykonawca przetwarza dane osobowe w imieniu klienta, obowiązuje pisemna umowa powierzenia zgodnie z artykułem 28 RODO: cel, kategorie danych, środki bezpieczeństwa i usunięcie na końcu.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Podprzetwarzający są wskazywani z góry i zmieniani wyłącznie po uprzednim powiadomieniu, wobec którego klient może wnieść sprzeciw. Lista obejmuje wszystkie usługi mające dostęp do danych klienta, w tym hosting, monitorowanie błędów i narzędzia do programowania wspomagane sztuczną inteligencją.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Miejsca przetwarzania i przechowywania są wskazane. Zalecana wartość domyślna: wyłącznie UE/EOG, w przeciwnym razie udokumentowany mechanizm przekazywania.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Wykonawca może opisywać współpracę publicznie wyłącznie w formie zanonimizowanej, chyba że klient pisemnie zgodzi się na podanie nazwy.</w:t>
      </w:r>
    </w:p>
    <w:p>
      <w:pPr>
        <w:spacing w:after="200" w:line="300" w:lineRule="auto"/>
        <w:pBdr>
          <w:bottom w:val="single" w:sz="4" w:space="4" w:color="D3D9D6"/>
        </w:pBdr>
      </w:pPr>
    </w:p>
    <w:p>
      <w:pPr>
        <w:spacing w:after="160" w:line="300" w:lineRule="auto"/>
      </w:pPr>
      <w:r>
        <w:rPr>
          <w:rFonts w:ascii="Schibsted Grotesk" w:hAnsi="Schibsted Grotesk"/>
          <w:i/>
          <w:sz w:val="21"/>
          <w:color w:val="121B17"/>
        </w:rPr>
        <w:t xml:space="preserve">Wersja: uzupełnij. Podpisują: obie techniczne osoby kontaktowe, czyli osoby, które wykonują i odbierają pracę, nie tylko te, które ją fakturują.</w:t>
      </w:r>
    </w:p>
    <w:p>
      <w:pPr>
        <w:spacing w:after="160" w:line="300" w:lineRule="auto"/>
      </w:pPr>
      <w:r>
        <w:rPr>
          <w:rFonts w:ascii="Schibsted Grotesk" w:hAnsi="Schibsted Grotesk"/>
          <w:i/>
          <w:sz w:val="21"/>
          <w:color w:val="121B17"/>
        </w:rPr>
        <w:t xml:space="preserve">Umowa o współpracy, wersja szablonu 1.0, wydana przez Zapolu s.r.o., zapolu.com, na licencji CC BY 4.0 (creativecommons.org/licenses/by/4.0/).</w:t>
      </w:r>
    </w:p>
    <w:sectPr>
      <w:footerReference w:type="default" r:id="rIdFooter"/>
      <w:pgSz w:w="11906" w:h="16838"/>
      <w:pgMar w:top="1134" w:right="1134" w:bottom="1020" w:left="1134" w:header="680" w:footer="567"/>
    </w:sectPr>
  </w:body>
</w:document>
</file>

<file path=word/footer1.xml><?xml version="1.0" encoding="utf-8"?>
<w:ftr xmlns:w="http://schemas.openxmlformats.org/wordprocessingml/2006/main" xmlns:r="http://schemas.openxmlformats.org/officeDocument/2006/relationships">
  <w:p>
    <w:pPr>
      <w:pBdr>
        <w:top w:val="single" w:sz="4" w:space="8" w:color="D3D9D6"/>
      </w:pBdr>
    </w:pPr>
    <w:r>
      <w:rPr>
        <w:rFonts w:ascii="Schibsted Grotesk" w:hAnsi="Schibsted Grotesk"/>
        <w:sz w:val="14"/>
        <w:color w:val="4B5952"/>
      </w:rPr>
      <w:t xml:space="preserve">Zapolu s.r.o., zapolu.com</w:t>
    </w:r>
  </w:p>
</w:ftr>
</file>

<file path=word/numbering.xml><?xml version="1.0" encoding="utf-8"?>
<w:numbering xmlns:w="http://schemas.openxmlformats.org/wordprocessingml/2006/main" xmlns:r="http://schemas.openxmlformats.org/officeDocument/2006/relationships">
  <w:abstractNum w:abstractNumId="0">
    <w:lvl w:ilvl="0">
      <w:start w:val="1"/>
      <w:numFmt w:val="bullet"/>
      <w:lvlText w:val="•"/>
      <w:lvlJc w:val="left"/>
      <w:pPr>
        <w:ind w:left="340" w:hanging="227"/>
      </w:pPr>
      <w:rPr>
        <w:rFonts w:ascii="Schibsted Grotesk" w:hAnsi="Schibsted Grotesk"/>
      </w:rPr>
    </w:lvl>
  </w:abstractNum>
  <w:num w:numId="1">
    <w:abstractNumId w:val="0"/>
  </w:num>
</w:numbering>
</file>

<file path=word/_rels/document.xml.rels><?xml version="1.0" encoding="UTF-8" standalone="yes"?>
<Relationships xmlns="http://schemas.openxmlformats.org/package/2006/relationships">
<Relationship Id="rIdNumbering" Type="http://schemas.openxmlformats.org/officeDocument/2006/relationships/numbering" Target="numbering.xml"/>
<Relationship Id="rIdFooter" Type="http://schemas.openxmlformats.org/officeDocument/2006/relationships/footer" Target="footer1.xml"/>
<Relationship Id="rIdLink0" Type="http://schemas.openxmlformats.org/officeDocument/2006/relationships/hyperlink" Target="https://zapolu.com/pl/downloads/zapolu-engagement-template.pdf" TargetMode="External"/>
</Relationships>
</file>