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spacing w:after="200" w:line="260" w:lineRule="auto"/>
      </w:pPr>
      <w:r>
        <w:rPr>
          <w:rFonts w:ascii="Schibsted Grotesk" w:hAnsi="Schibsted Grotesk"/>
          <w:b/>
          <w:sz w:val="40"/>
          <w:color w:val="121B17"/>
        </w:rPr>
        <w:t xml:space="preserve">Engagement Agreement: Working Document</w:t>
      </w:r>
    </w:p>
    <w:p>
      <w:pPr>
        <w:spacing w:after="240" w:line="300" w:lineRule="auto"/>
        <w:ind w:left="340"/>
        <w:pBdr>
          <w:left w:val="single" w:sz="18" w:space="8" w:color="156446"/>
        </w:pBdr>
      </w:pPr>
      <w:r>
        <w:rPr>
          <w:rFonts w:ascii="Schibsted Grotesk" w:hAnsi="Schibsted Grotesk"/>
          <w:sz w:val="19"/>
          <w:color w:val="4B5952"/>
        </w:rPr>
        <w:t xml:space="preserve">Template published by Zapolu s.r.o. (zapolu.com) under CC BY 4.0: use it with Zapolu or with any other vendor, commercially or not, as long as the attribution at the end stays. It is a working agreement, not legal advice; have your counsel review the contractual parts. Template version 1.0, 1 August 2026. The current version is at </w:t>
      </w:r>
      <w:hyperlink r:id="rIdLink0">
        <w:r>
          <w:rPr>
            <w:rFonts w:ascii="Schibsted Grotesk" w:hAnsi="Schibsted Grotesk"/>
            <w:u w:val="single"/>
            <w:sz w:val="19"/>
            <w:color w:val="156446"/>
          </w:rPr>
          <w:t xml:space="preserve">zapolu.com/downloads</w:t>
        </w:r>
      </w:hyperlink>
      <w:r>
        <w:rPr>
          <w:rFonts w:ascii="Schibsted Grotesk" w:hAnsi="Schibsted Grotesk"/>
          <w:sz w:val="19"/>
          <w:color w:val="4B5952"/>
        </w:rPr>
        <w:t xml:space="preserve">.</w:t>
      </w:r>
    </w:p>
    <w:p>
      <w:pPr>
        <w:spacing w:after="160" w:line="300" w:lineRule="auto"/>
      </w:pPr>
      <w:r>
        <w:rPr>
          <w:rFonts w:ascii="Schibsted Grotesk" w:hAnsi="Schibsted Grotesk"/>
          <w:sz w:val="21"/>
          <w:color w:val="121B17"/>
        </w:rPr>
        <w:t xml:space="preserve">Where this template leaves a blank, it names a recommended default or gives a worked example. Change a default deliberately where it does not fit, rather than leaving the blank empty.</w:t>
      </w:r>
    </w:p>
    <w:p>
      <w:pPr>
        <w:spacing w:after="120" w:line="260" w:lineRule="auto"/>
        <w:pBdr>
          <w:bottom w:val="single" w:sz="4" w:space="4" w:color="D3D9D6"/>
        </w:pBdr>
      </w:pPr>
      <w:r>
        <w:rPr>
          <w:rFonts w:ascii="Schibsted Grotesk" w:hAnsi="Schibsted Grotesk"/>
          <w:b/>
          <w:sz w:val="26"/>
          <w:color w:val="121B17"/>
        </w:rPr>
        <w:t xml:space="preserve">1. Scope</w:t>
      </w:r>
    </w:p>
    <w:p>
      <w:pPr>
        <w:spacing w:after="80" w:line="300" w:lineRule="auto"/>
        <w:numPr>
          <w:ilvl w:val="0"/>
          <w:numId w:val="1"/>
        </w:numPr>
      </w:pPr>
      <w:r>
        <w:rPr>
          <w:rFonts w:ascii="Schibsted Grotesk" w:hAnsi="Schibsted Grotesk"/>
          <w:b/>
          <w:sz w:val="21"/>
          <w:color w:val="121B17"/>
        </w:rPr>
        <w:t xml:space="preserve">What we are doing:</w:t>
      </w:r>
      <w:r>
        <w:rPr>
          <w:rFonts w:ascii="Schibsted Grotesk" w:hAnsi="Schibsted Grotesk"/>
          <w:sz w:val="21"/>
          <w:color w:val="121B17"/>
        </w:rPr>
        <w:t xml:space="preserve"> </w:t>
      </w:r>
      <w:r>
        <w:rPr>
          <w:rFonts w:ascii="Schibsted Grotesk" w:hAnsi="Schibsted Grotesk"/>
          <w:i/>
          <w:sz w:val="21"/>
          <w:color w:val="121B17"/>
        </w:rPr>
        <w:t xml:space="preserve">one paragraph, plain language. A scope that cannot be described in one paragraph should be split into two engagements.</w:t>
      </w:r>
    </w:p>
    <w:p>
      <w:pPr>
        <w:spacing w:after="80" w:line="300" w:lineRule="auto"/>
        <w:numPr>
          <w:ilvl w:val="0"/>
          <w:numId w:val="1"/>
        </w:numPr>
      </w:pPr>
      <w:r>
        <w:rPr>
          <w:rFonts w:ascii="Schibsted Grotesk" w:hAnsi="Schibsted Grotesk"/>
          <w:b/>
          <w:sz w:val="21"/>
          <w:color w:val="121B17"/>
        </w:rPr>
        <w:t xml:space="preserve">What we are explicitly not doing:</w:t>
      </w:r>
      <w:r>
        <w:rPr>
          <w:rFonts w:ascii="Schibsted Grotesk" w:hAnsi="Schibsted Grotesk"/>
          <w:sz w:val="21"/>
          <w:color w:val="121B17"/>
        </w:rPr>
        <w:t xml:space="preserve"> </w:t>
      </w:r>
      <w:r>
        <w:rPr>
          <w:rFonts w:ascii="Schibsted Grotesk" w:hAnsi="Schibsted Grotesk"/>
          <w:i/>
          <w:sz w:val="21"/>
          <w:color w:val="121B17"/>
        </w:rPr>
        <w:t xml:space="preserve">list what a reader might otherwise assume is included.</w:t>
      </w:r>
    </w:p>
    <w:p>
      <w:pPr>
        <w:spacing w:after="80" w:line="300" w:lineRule="auto"/>
        <w:numPr>
          <w:ilvl w:val="0"/>
          <w:numId w:val="1"/>
        </w:numPr>
      </w:pPr>
      <w:r>
        <w:rPr>
          <w:rFonts w:ascii="Schibsted Grotesk" w:hAnsi="Schibsted Grotesk"/>
          <w:b/>
          <w:sz w:val="21"/>
          <w:color w:val="121B17"/>
        </w:rPr>
        <w:t xml:space="preserve">Success criteria:</w:t>
      </w:r>
      <w:r>
        <w:rPr>
          <w:rFonts w:ascii="Schibsted Grotesk" w:hAnsi="Schibsted Grotesk"/>
          <w:sz w:val="21"/>
          <w:color w:val="121B17"/>
        </w:rPr>
        <w:t xml:space="preserve"> </w:t>
      </w:r>
      <w:r>
        <w:rPr>
          <w:rFonts w:ascii="Schibsted Grotesk" w:hAnsi="Schibsted Grotesk"/>
          <w:i/>
          <w:sz w:val="21"/>
          <w:color w:val="121B17"/>
        </w:rPr>
        <w:t xml:space="preserve">measurable, agreed before work starts. Example: "checkout LCP ≤ 1.5 s at p75 on field data", not "site feels faster."</w:t>
      </w:r>
    </w:p>
    <w:p>
      <w:pPr>
        <w:spacing w:after="120" w:line="260" w:lineRule="auto"/>
        <w:pBdr>
          <w:bottom w:val="single" w:sz="4" w:space="4" w:color="D3D9D6"/>
        </w:pBdr>
      </w:pPr>
      <w:r>
        <w:rPr>
          <w:rFonts w:ascii="Schibsted Grotesk" w:hAnsi="Schibsted Grotesk"/>
          <w:b/>
          <w:sz w:val="26"/>
          <w:color w:val="121B17"/>
        </w:rPr>
        <w:t xml:space="preserve">2. People and subcontracting</w:t>
      </w:r>
    </w:p>
    <w:p>
      <w:pPr>
        <w:spacing w:after="80" w:line="300" w:lineRule="auto"/>
        <w:numPr>
          <w:ilvl w:val="0"/>
          <w:numId w:val="1"/>
        </w:numPr>
      </w:pPr>
      <w:r>
        <w:rPr>
          <w:rFonts w:ascii="Schibsted Grotesk" w:hAnsi="Schibsted Grotesk"/>
          <w:b/>
          <w:sz w:val="21"/>
          <w:color w:val="121B17"/>
        </w:rPr>
        <w:t xml:space="preserve">Client's technical point of contact:</w:t>
      </w:r>
      <w:r>
        <w:rPr>
          <w:rFonts w:ascii="Schibsted Grotesk" w:hAnsi="Schibsted Grotesk"/>
          <w:sz w:val="21"/>
          <w:color w:val="121B17"/>
        </w:rPr>
        <w:t xml:space="preserve"> </w:t>
      </w:r>
      <w:r>
        <w:rPr>
          <w:rFonts w:ascii="Schibsted Grotesk" w:hAnsi="Schibsted Grotesk"/>
          <w:i/>
          <w:sz w:val="21"/>
          <w:color w:val="121B17"/>
        </w:rPr>
        <w:t xml:space="preserve">name</w:t>
      </w:r>
      <w:r>
        <w:rPr>
          <w:rFonts w:ascii="Schibsted Grotesk" w:hAnsi="Schibsted Grotesk"/>
          <w:sz w:val="21"/>
          <w:color w:val="121B17"/>
        </w:rPr>
        <w:t xml:space="preserve">, with the authority to decide independently and an allocation of 1–2 h/week for this engagement.</w:t>
      </w:r>
    </w:p>
    <w:p>
      <w:pPr>
        <w:spacing w:after="80" w:line="300" w:lineRule="auto"/>
        <w:numPr>
          <w:ilvl w:val="0"/>
          <w:numId w:val="1"/>
        </w:numPr>
      </w:pPr>
      <w:r>
        <w:rPr>
          <w:rFonts w:ascii="Schibsted Grotesk" w:hAnsi="Schibsted Grotesk"/>
          <w:b/>
          <w:sz w:val="21"/>
          <w:color w:val="121B17"/>
        </w:rPr>
        <w:t xml:space="preserve">Vendor engineers on this engagement:</w:t>
      </w:r>
      <w:r>
        <w:rPr>
          <w:rFonts w:ascii="Schibsted Grotesk" w:hAnsi="Schibsted Grotesk"/>
          <w:sz w:val="21"/>
          <w:color w:val="121B17"/>
        </w:rPr>
        <w:t xml:space="preserve"> </w:t>
      </w:r>
      <w:r>
        <w:rPr>
          <w:rFonts w:ascii="Schibsted Grotesk" w:hAnsi="Schibsted Grotesk"/>
          <w:i/>
          <w:sz w:val="21"/>
          <w:color w:val="121B17"/>
        </w:rPr>
        <w:t xml:space="preserve">names</w:t>
      </w:r>
      <w:r>
        <w:rPr>
          <w:rFonts w:ascii="Schibsted Grotesk" w:hAnsi="Schibsted Grotesk"/>
          <w:sz w:val="21"/>
          <w:color w:val="121B17"/>
        </w:rPr>
        <w:t xml:space="preserve">. The engineers listed write the code and attend the meetings. Substitution requires the client's written approval.</w:t>
      </w:r>
    </w:p>
    <w:p>
      <w:pPr>
        <w:spacing w:after="80" w:line="300" w:lineRule="auto"/>
        <w:numPr>
          <w:ilvl w:val="0"/>
          <w:numId w:val="1"/>
        </w:numPr>
      </w:pPr>
      <w:r>
        <w:rPr>
          <w:rFonts w:ascii="Schibsted Grotesk" w:hAnsi="Schibsted Grotesk"/>
          <w:sz w:val="21"/>
          <w:color w:val="121B17"/>
        </w:rPr>
        <w:t xml:space="preserve">Subcontractors are named in advance or not used. Recommended default: none without written approval. A subcontractor is bound by every clause here, and the vendor remains liable for their work.</w:t>
      </w:r>
    </w:p>
    <w:p>
      <w:pPr>
        <w:spacing w:after="120" w:line="260" w:lineRule="auto"/>
        <w:pBdr>
          <w:bottom w:val="single" w:sz="4" w:space="4" w:color="D3D9D6"/>
        </w:pBdr>
      </w:pPr>
      <w:r>
        <w:rPr>
          <w:rFonts w:ascii="Schibsted Grotesk" w:hAnsi="Schibsted Grotesk"/>
          <w:b/>
          <w:sz w:val="26"/>
          <w:color w:val="121B17"/>
        </w:rPr>
        <w:t xml:space="preserve">3. Working rhythm and transparency</w:t>
      </w:r>
    </w:p>
    <w:p>
      <w:pPr>
        <w:spacing w:after="80" w:line="300" w:lineRule="auto"/>
        <w:numPr>
          <w:ilvl w:val="0"/>
          <w:numId w:val="1"/>
        </w:numPr>
      </w:pPr>
      <w:r>
        <w:rPr>
          <w:rFonts w:ascii="Schibsted Grotesk" w:hAnsi="Schibsted Grotesk"/>
          <w:sz w:val="21"/>
          <w:color w:val="121B17"/>
        </w:rPr>
        <w:t xml:space="preserve">Work happens in the </w:t>
      </w:r>
      <w:r>
        <w:rPr>
          <w:rFonts w:ascii="Schibsted Grotesk" w:hAnsi="Schibsted Grotesk"/>
          <w:b/>
          <w:sz w:val="21"/>
          <w:color w:val="121B17"/>
        </w:rPr>
        <w:t xml:space="preserve">client's repository and organization</w:t>
      </w:r>
      <w:r>
        <w:rPr>
          <w:rFonts w:ascii="Schibsted Grotesk" w:hAnsi="Schibsted Grotesk"/>
          <w:sz w:val="21"/>
          <w:color w:val="121B17"/>
        </w:rPr>
        <w:t xml:space="preserve">, in small reviewable pull requests, from day one.</w:t>
      </w:r>
    </w:p>
    <w:p>
      <w:pPr>
        <w:spacing w:after="80" w:line="300" w:lineRule="auto"/>
        <w:numPr>
          <w:ilvl w:val="0"/>
          <w:numId w:val="1"/>
        </w:numPr>
      </w:pPr>
      <w:r>
        <w:rPr>
          <w:rFonts w:ascii="Schibsted Grotesk" w:hAnsi="Schibsted Grotesk"/>
          <w:b/>
          <w:sz w:val="21"/>
          <w:color w:val="121B17"/>
        </w:rPr>
        <w:t xml:space="preserve">Weekly written check-in</w:t>
      </w:r>
      <w:r>
        <w:rPr>
          <w:rFonts w:ascii="Schibsted Grotesk" w:hAnsi="Schibsted Grotesk"/>
          <w:sz w:val="21"/>
          <w:color w:val="121B17"/>
        </w:rPr>
        <w:t xml:space="preserve"> (shipped / next / blocked / decisions needed), delivered every week, including weeks with negative findings.</w:t>
      </w:r>
    </w:p>
    <w:p>
      <w:pPr>
        <w:spacing w:after="80" w:line="300" w:lineRule="auto"/>
        <w:numPr>
          <w:ilvl w:val="0"/>
          <w:numId w:val="1"/>
        </w:numPr>
      </w:pPr>
      <w:r>
        <w:rPr>
          <w:rFonts w:ascii="Schibsted Grotesk" w:hAnsi="Schibsted Grotesk"/>
          <w:sz w:val="21"/>
          <w:color w:val="121B17"/>
        </w:rPr>
        <w:t xml:space="preserve">Status meetings happen only with an agenda; by default the written check-in replaces them.</w:t>
      </w:r>
    </w:p>
    <w:p>
      <w:pPr>
        <w:spacing w:after="120" w:line="260" w:lineRule="auto"/>
        <w:pBdr>
          <w:bottom w:val="single" w:sz="4" w:space="4" w:color="D3D9D6"/>
        </w:pBdr>
      </w:pPr>
      <w:r>
        <w:rPr>
          <w:rFonts w:ascii="Schibsted Grotesk" w:hAnsi="Schibsted Grotesk"/>
          <w:b/>
          <w:sz w:val="26"/>
          <w:color w:val="121B17"/>
        </w:rPr>
        <w:t xml:space="preserve">4. Commercial terms</w:t>
      </w:r>
    </w:p>
    <w:p>
      <w:pPr>
        <w:spacing w:after="80" w:line="300" w:lineRule="auto"/>
        <w:numPr>
          <w:ilvl w:val="0"/>
          <w:numId w:val="1"/>
        </w:numPr>
      </w:pPr>
      <w:r>
        <w:rPr>
          <w:rFonts w:ascii="Schibsted Grotesk" w:hAnsi="Schibsted Grotesk"/>
          <w:sz w:val="21"/>
          <w:color w:val="121B17"/>
        </w:rPr>
        <w:t xml:space="preserve">Model: </w:t>
      </w:r>
      <w:r>
        <w:rPr>
          <w:rFonts w:ascii="Schibsted Grotesk" w:hAnsi="Schibsted Grotesk"/>
          <w:i/>
          <w:sz w:val="21"/>
          <w:color w:val="121B17"/>
        </w:rPr>
        <w:t xml:space="preserve">fixed price / weekly-capped invoice / monthly retainer with an agreed number of hours</w:t>
      </w:r>
      <w:r>
        <w:rPr>
          <w:rFonts w:ascii="Schibsted Grotesk" w:hAnsi="Schibsted Grotesk"/>
          <w:sz w:val="21"/>
          <w:color w:val="121B17"/>
        </w:rPr>
        <w:t xml:space="preserve"> (select one; mixed models per phase are acceptable).</w:t>
      </w:r>
    </w:p>
    <w:p>
      <w:pPr>
        <w:spacing w:after="80" w:line="300" w:lineRule="auto"/>
        <w:numPr>
          <w:ilvl w:val="0"/>
          <w:numId w:val="1"/>
        </w:numPr>
      </w:pPr>
      <w:r>
        <w:rPr>
          <w:rFonts w:ascii="Schibsted Grotesk" w:hAnsi="Schibsted Grotesk"/>
          <w:sz w:val="21"/>
          <w:color w:val="121B17"/>
        </w:rPr>
        <w:t xml:space="preserve">Change requests are written, estimated, and approved before work begins; invoices contain no line items that were not approved in advance.</w:t>
      </w:r>
    </w:p>
    <w:p>
      <w:pPr>
        <w:spacing w:after="80" w:line="300" w:lineRule="auto"/>
        <w:numPr>
          <w:ilvl w:val="0"/>
          <w:numId w:val="1"/>
        </w:numPr>
      </w:pPr>
      <w:r>
        <w:rPr>
          <w:rFonts w:ascii="Schibsted Grotesk" w:hAnsi="Schibsted Grotesk"/>
          <w:sz w:val="21"/>
          <w:color w:val="121B17"/>
        </w:rPr>
        <w:t xml:space="preserve">Payment terms: </w:t>
      </w:r>
      <w:r>
        <w:rPr>
          <w:rFonts w:ascii="Schibsted Grotesk" w:hAnsi="Schibsted Grotesk"/>
          <w:i/>
          <w:sz w:val="21"/>
          <w:color w:val="121B17"/>
        </w:rPr>
        <w:t xml:space="preserve">recommended default: 14 days net. Work pauses after written notice if an undisputed invoice is 14 days overdue.</w:t>
      </w:r>
    </w:p>
    <w:p>
      <w:pPr>
        <w:spacing w:after="80" w:line="300" w:lineRule="auto"/>
        <w:numPr>
          <w:ilvl w:val="0"/>
          <w:numId w:val="1"/>
        </w:numPr>
      </w:pPr>
      <w:r>
        <w:rPr>
          <w:rFonts w:ascii="Schibsted Grotesk" w:hAnsi="Schibsted Grotesk"/>
          <w:sz w:val="21"/>
          <w:color w:val="121B17"/>
        </w:rPr>
        <w:t xml:space="preserve">Expenses (travel, licences, third-party services) are invoiced at cost. Recommended default: none without prior written approval.</w:t>
      </w:r>
    </w:p>
    <w:p>
      <w:pPr>
        <w:spacing w:after="120" w:line="260" w:lineRule="auto"/>
        <w:pBdr>
          <w:bottom w:val="single" w:sz="4" w:space="4" w:color="D3D9D6"/>
        </w:pBdr>
      </w:pPr>
      <w:r>
        <w:rPr>
          <w:rFonts w:ascii="Schibsted Grotesk" w:hAnsi="Schibsted Grotesk"/>
          <w:b/>
          <w:sz w:val="26"/>
          <w:color w:val="121B17"/>
        </w:rPr>
        <w:t xml:space="preserve">5. Acceptance and defects</w:t>
      </w:r>
    </w:p>
    <w:p>
      <w:pPr>
        <w:spacing w:after="80" w:line="300" w:lineRule="auto"/>
        <w:numPr>
          <w:ilvl w:val="0"/>
          <w:numId w:val="1"/>
        </w:numPr>
      </w:pPr>
      <w:r>
        <w:rPr>
          <w:rFonts w:ascii="Schibsted Grotesk" w:hAnsi="Schibsted Grotesk"/>
          <w:sz w:val="21"/>
          <w:color w:val="121B17"/>
        </w:rPr>
        <w:t xml:space="preserve">Work is accepted against the success criteria in section 1, not against opinion.</w:t>
      </w:r>
    </w:p>
    <w:p>
      <w:pPr>
        <w:spacing w:after="80" w:line="300" w:lineRule="auto"/>
        <w:numPr>
          <w:ilvl w:val="0"/>
          <w:numId w:val="1"/>
        </w:numPr>
      </w:pPr>
      <w:r>
        <w:rPr>
          <w:rFonts w:ascii="Schibsted Grotesk" w:hAnsi="Schibsted Grotesk"/>
          <w:sz w:val="21"/>
          <w:color w:val="121B17"/>
        </w:rPr>
        <w:t xml:space="preserve">The client has </w:t>
      </w:r>
      <w:r>
        <w:rPr>
          <w:rFonts w:ascii="Schibsted Grotesk" w:hAnsi="Schibsted Grotesk"/>
          <w:i/>
          <w:sz w:val="21"/>
          <w:color w:val="121B17"/>
        </w:rPr>
        <w:t xml:space="preserve">recommended default: 10 business days</w:t>
      </w:r>
      <w:r>
        <w:rPr>
          <w:rFonts w:ascii="Schibsted Grotesk" w:hAnsi="Schibsted Grotesk"/>
          <w:sz w:val="21"/>
          <w:color w:val="121B17"/>
        </w:rPr>
        <w:t xml:space="preserve"> from delivery to accept, or to state in writing which criterion is not met. The work counts as accepted after that window.</w:t>
      </w:r>
    </w:p>
    <w:p>
      <w:pPr>
        <w:spacing w:after="80" w:line="300" w:lineRule="auto"/>
        <w:numPr>
          <w:ilvl w:val="0"/>
          <w:numId w:val="1"/>
        </w:numPr>
      </w:pPr>
      <w:r>
        <w:rPr>
          <w:rFonts w:ascii="Schibsted Grotesk" w:hAnsi="Schibsted Grotesk"/>
          <w:sz w:val="21"/>
          <w:color w:val="121B17"/>
        </w:rPr>
        <w:t xml:space="preserve">Defects present at handover are corrected at no charge for </w:t>
      </w:r>
      <w:r>
        <w:rPr>
          <w:rFonts w:ascii="Schibsted Grotesk" w:hAnsi="Schibsted Grotesk"/>
          <w:i/>
          <w:sz w:val="21"/>
          <w:color w:val="121B17"/>
        </w:rPr>
        <w:t xml:space="preserve">recommended default: 90 days</w:t>
      </w:r>
      <w:r>
        <w:rPr>
          <w:rFonts w:ascii="Schibsted Grotesk" w:hAnsi="Schibsted Grotesk"/>
          <w:sz w:val="21"/>
          <w:color w:val="121B17"/>
        </w:rPr>
        <w:t xml:space="preserve">. A change of scope is a change request under section 4, not a defect.</w:t>
      </w:r>
    </w:p>
    <w:p>
      <w:pPr>
        <w:spacing w:after="120" w:line="260" w:lineRule="auto"/>
        <w:pBdr>
          <w:bottom w:val="single" w:sz="4" w:space="4" w:color="D3D9D6"/>
        </w:pBdr>
      </w:pPr>
      <w:r>
        <w:rPr>
          <w:rFonts w:ascii="Schibsted Grotesk" w:hAnsi="Schibsted Grotesk"/>
          <w:b/>
          <w:sz w:val="26"/>
          <w:color w:val="121B17"/>
        </w:rPr>
        <w:t xml:space="preserve">6. Ownership, existing rights, and exit</w:t>
      </w:r>
    </w:p>
    <w:p>
      <w:pPr>
        <w:spacing w:after="80" w:line="300" w:lineRule="auto"/>
        <w:numPr>
          <w:ilvl w:val="0"/>
          <w:numId w:val="1"/>
        </w:numPr>
      </w:pPr>
      <w:r>
        <w:rPr>
          <w:rFonts w:ascii="Schibsted Grotesk" w:hAnsi="Schibsted Grotesk"/>
          <w:sz w:val="21"/>
          <w:color w:val="121B17"/>
        </w:rPr>
        <w:t xml:space="preserve">All code, configuration, and documentation written for this engagement belong to the client </w:t>
      </w:r>
      <w:r>
        <w:rPr>
          <w:rFonts w:ascii="Schibsted Grotesk" w:hAnsi="Schibsted Grotesk"/>
          <w:b/>
          <w:sz w:val="21"/>
          <w:color w:val="121B17"/>
        </w:rPr>
        <w:t xml:space="preserve">from the first paid invoice</w:t>
      </w:r>
      <w:r>
        <w:rPr>
          <w:rFonts w:ascii="Schibsted Grotesk" w:hAnsi="Schibsted Grotesk"/>
          <w:sz w:val="21"/>
          <w:color w:val="121B17"/>
        </w:rPr>
        <w:t xml:space="preserve">. The repository lives in the client's organization; there is nothing to hand over at the end.</w:t>
      </w:r>
    </w:p>
    <w:p>
      <w:pPr>
        <w:spacing w:after="80" w:line="300" w:lineRule="auto"/>
        <w:numPr>
          <w:ilvl w:val="0"/>
          <w:numId w:val="1"/>
        </w:numPr>
      </w:pPr>
      <w:r>
        <w:rPr>
          <w:rFonts w:ascii="Schibsted Grotesk" w:hAnsi="Schibsted Grotesk"/>
          <w:sz w:val="21"/>
          <w:color w:val="121B17"/>
        </w:rPr>
        <w:t xml:space="preserve">Open-source and third-party components keep their own licences. The vendor lists them, keeps them compatible with how the client uses the work, and adds no copyleft dependency to proprietary code without written approval.</w:t>
      </w:r>
    </w:p>
    <w:p>
      <w:pPr>
        <w:spacing w:after="80" w:line="300" w:lineRule="auto"/>
        <w:numPr>
          <w:ilvl w:val="0"/>
          <w:numId w:val="1"/>
        </w:numPr>
      </w:pPr>
      <w:r>
        <w:rPr>
          <w:rFonts w:ascii="Schibsted Grotesk" w:hAnsi="Schibsted Grotesk"/>
          <w:sz w:val="21"/>
          <w:color w:val="121B17"/>
        </w:rPr>
        <w:t xml:space="preserve">Material the vendor brings with it (internal libraries, tooling, checklists) stays the vendor's. The client receives a perpetual, transferable licence to use, modify, and sublicense it as part of the delivered work.</w:t>
      </w:r>
    </w:p>
    <w:p>
      <w:pPr>
        <w:spacing w:after="80" w:line="300" w:lineRule="auto"/>
        <w:numPr>
          <w:ilvl w:val="0"/>
          <w:numId w:val="1"/>
        </w:numPr>
      </w:pPr>
      <w:r>
        <w:rPr>
          <w:rFonts w:ascii="Schibsted Grotesk" w:hAnsi="Schibsted Grotesk"/>
          <w:sz w:val="21"/>
          <w:color w:val="121B17"/>
        </w:rPr>
        <w:t xml:space="preserve">Either side may end the engagement with </w:t>
      </w:r>
      <w:r>
        <w:rPr>
          <w:rFonts w:ascii="Schibsted Grotesk" w:hAnsi="Schibsted Grotesk"/>
          <w:i/>
          <w:sz w:val="21"/>
          <w:color w:val="121B17"/>
        </w:rPr>
        <w:t xml:space="preserve">recommended default: two weeks'</w:t>
      </w:r>
      <w:r>
        <w:rPr>
          <w:rFonts w:ascii="Schibsted Grotesk" w:hAnsi="Schibsted Grotesk"/>
          <w:sz w:val="21"/>
          <w:color w:val="121B17"/>
        </w:rPr>
        <w:t xml:space="preserve"> written notice. The client keeps everything paid for, including work in progress.</w:t>
      </w:r>
    </w:p>
    <w:p>
      <w:pPr>
        <w:spacing w:after="120" w:line="260" w:lineRule="auto"/>
        <w:pBdr>
          <w:bottom w:val="single" w:sz="4" w:space="4" w:color="D3D9D6"/>
        </w:pBdr>
      </w:pPr>
      <w:r>
        <w:rPr>
          <w:rFonts w:ascii="Schibsted Grotesk" w:hAnsi="Schibsted Grotesk"/>
          <w:b/>
          <w:sz w:val="26"/>
          <w:color w:val="121B17"/>
        </w:rPr>
        <w:t xml:space="preserve">7. Launches and rollback</w:t>
      </w:r>
    </w:p>
    <w:p>
      <w:pPr>
        <w:spacing w:after="80" w:line="300" w:lineRule="auto"/>
        <w:numPr>
          <w:ilvl w:val="0"/>
          <w:numId w:val="1"/>
        </w:numPr>
      </w:pPr>
      <w:r>
        <w:rPr>
          <w:rFonts w:ascii="Schibsted Grotesk" w:hAnsi="Schibsted Grotesk"/>
          <w:sz w:val="21"/>
          <w:color w:val="121B17"/>
        </w:rPr>
        <w:t xml:space="preserve">Migrations and risky launches run </w:t>
      </w:r>
      <w:r>
        <w:rPr>
          <w:rFonts w:ascii="Schibsted Grotesk" w:hAnsi="Schibsted Grotesk"/>
          <w:b/>
          <w:sz w:val="21"/>
          <w:color w:val="121B17"/>
        </w:rPr>
        <w:t xml:space="preserve">parallel / shadow-traffic</w:t>
      </w:r>
      <w:r>
        <w:rPr>
          <w:rFonts w:ascii="Schibsted Grotesk" w:hAnsi="Schibsted Grotesk"/>
          <w:sz w:val="21"/>
          <w:color w:val="121B17"/>
        </w:rPr>
        <w:t xml:space="preserve"> where feasible; big-bang only when there is no alternative.</w:t>
      </w:r>
    </w:p>
    <w:p>
      <w:pPr>
        <w:spacing w:after="80" w:line="300" w:lineRule="auto"/>
        <w:numPr>
          <w:ilvl w:val="0"/>
          <w:numId w:val="1"/>
        </w:numPr>
      </w:pPr>
      <w:r>
        <w:rPr>
          <w:rFonts w:ascii="Schibsted Grotesk" w:hAnsi="Schibsted Grotesk"/>
          <w:sz w:val="21"/>
          <w:color w:val="121B17"/>
        </w:rPr>
        <w:t xml:space="preserve">A written </w:t>
      </w:r>
      <w:r>
        <w:rPr>
          <w:rFonts w:ascii="Schibsted Grotesk" w:hAnsi="Schibsted Grotesk"/>
          <w:b/>
          <w:sz w:val="21"/>
          <w:color w:val="121B17"/>
        </w:rPr>
        <w:t xml:space="preserve">go / no-go checklist</w:t>
      </w:r>
      <w:r>
        <w:rPr>
          <w:rFonts w:ascii="Schibsted Grotesk" w:hAnsi="Schibsted Grotesk"/>
          <w:sz w:val="21"/>
          <w:color w:val="121B17"/>
        </w:rPr>
        <w:t xml:space="preserve"> is signed off by both sides before cutover.</w:t>
      </w:r>
    </w:p>
    <w:p>
      <w:pPr>
        <w:spacing w:after="80" w:line="300" w:lineRule="auto"/>
        <w:numPr>
          <w:ilvl w:val="0"/>
          <w:numId w:val="1"/>
        </w:numPr>
      </w:pPr>
      <w:r>
        <w:rPr>
          <w:rFonts w:ascii="Schibsted Grotesk" w:hAnsi="Schibsted Grotesk"/>
          <w:sz w:val="21"/>
          <w:color w:val="121B17"/>
        </w:rPr>
        <w:t xml:space="preserve">A tested rollback path stays usable for </w:t>
      </w:r>
      <w:r>
        <w:rPr>
          <w:rFonts w:ascii="Schibsted Grotesk" w:hAnsi="Schibsted Grotesk"/>
          <w:b/>
          <w:sz w:val="21"/>
          <w:color w:val="121B17"/>
        </w:rPr>
        <w:t xml:space="preserve">30 days</w:t>
      </w:r>
      <w:r>
        <w:rPr>
          <w:rFonts w:ascii="Schibsted Grotesk" w:hAnsi="Schibsted Grotesk"/>
          <w:sz w:val="21"/>
          <w:color w:val="121B17"/>
        </w:rPr>
        <w:t xml:space="preserve"> after launch.</w:t>
      </w:r>
    </w:p>
    <w:p>
      <w:pPr>
        <w:spacing w:after="120" w:line="260" w:lineRule="auto"/>
        <w:pBdr>
          <w:bottom w:val="single" w:sz="4" w:space="4" w:color="D3D9D6"/>
        </w:pBdr>
      </w:pPr>
      <w:r>
        <w:rPr>
          <w:rFonts w:ascii="Schibsted Grotesk" w:hAnsi="Schibsted Grotesk"/>
          <w:b/>
          <w:sz w:val="26"/>
          <w:color w:val="121B17"/>
        </w:rPr>
        <w:t xml:space="preserve">8. Incident handling</w:t>
      </w:r>
    </w:p>
    <w:p>
      <w:pPr>
        <w:spacing w:after="80" w:line="300" w:lineRule="auto"/>
        <w:numPr>
          <w:ilvl w:val="0"/>
          <w:numId w:val="1"/>
        </w:numPr>
      </w:pPr>
      <w:r>
        <w:rPr>
          <w:rFonts w:ascii="Schibsted Grotesk" w:hAnsi="Schibsted Grotesk"/>
          <w:sz w:val="21"/>
          <w:color w:val="121B17"/>
        </w:rPr>
        <w:t xml:space="preserve">Production incidents: the party that first detects an incident opens it; the vendor responds within </w:t>
      </w:r>
      <w:r>
        <w:rPr>
          <w:rFonts w:ascii="Schibsted Grotesk" w:hAnsi="Schibsted Grotesk"/>
          <w:i/>
          <w:sz w:val="21"/>
          <w:color w:val="121B17"/>
        </w:rPr>
        <w:t xml:space="preserve">recommended default: 4 working hours, on business days between 09:00 and 18:00 CET</w:t>
      </w:r>
      <w:r>
        <w:rPr>
          <w:rFonts w:ascii="Schibsted Grotesk" w:hAnsi="Schibsted Grotesk"/>
          <w:sz w:val="21"/>
          <w:color w:val="121B17"/>
        </w:rPr>
        <w:t xml:space="preserve">. A tighter window is a paid on-call arrangement, agreed separately.</w:t>
      </w:r>
    </w:p>
    <w:p>
      <w:pPr>
        <w:spacing w:after="80" w:line="300" w:lineRule="auto"/>
        <w:numPr>
          <w:ilvl w:val="0"/>
          <w:numId w:val="1"/>
        </w:numPr>
      </w:pPr>
      <w:r>
        <w:rPr>
          <w:rFonts w:ascii="Schibsted Grotesk" w:hAnsi="Schibsted Grotesk"/>
          <w:sz w:val="21"/>
          <w:color w:val="121B17"/>
        </w:rPr>
        <w:t xml:space="preserve">Every incident ends with a blameless </w:t>
      </w:r>
      <w:r>
        <w:rPr>
          <w:rFonts w:ascii="Schibsted Grotesk" w:hAnsi="Schibsted Grotesk"/>
          <w:b/>
          <w:sz w:val="21"/>
          <w:color w:val="121B17"/>
        </w:rPr>
        <w:t xml:space="preserve">written post-mortem</w:t>
      </w:r>
      <w:r>
        <w:rPr>
          <w:rFonts w:ascii="Schibsted Grotesk" w:hAnsi="Schibsted Grotesk"/>
          <w:sz w:val="21"/>
          <w:color w:val="121B17"/>
        </w:rPr>
        <w:t xml:space="preserve">: what happened, what was done, what changes to prevent recurrence.</w:t>
      </w:r>
    </w:p>
    <w:p>
      <w:pPr>
        <w:spacing w:after="80" w:line="300" w:lineRule="auto"/>
        <w:numPr>
          <w:ilvl w:val="0"/>
          <w:numId w:val="1"/>
        </w:numPr>
      </w:pPr>
      <w:r>
        <w:rPr>
          <w:rFonts w:ascii="Schibsted Grotesk" w:hAnsi="Schibsted Grotesk"/>
          <w:sz w:val="21"/>
          <w:color w:val="121B17"/>
        </w:rPr>
        <w:t xml:space="preserve">Missed estimates are reported in the weekly check-in the moment they are known, together with a revised plan.</w:t>
      </w:r>
    </w:p>
    <w:p>
      <w:pPr>
        <w:spacing w:after="120" w:line="260" w:lineRule="auto"/>
        <w:pBdr>
          <w:bottom w:val="single" w:sz="4" w:space="4" w:color="D3D9D6"/>
        </w:pBdr>
      </w:pPr>
      <w:r>
        <w:rPr>
          <w:rFonts w:ascii="Schibsted Grotesk" w:hAnsi="Schibsted Grotesk"/>
          <w:b/>
          <w:sz w:val="26"/>
          <w:color w:val="121B17"/>
        </w:rPr>
        <w:t xml:space="preserve">9. Access and credentials</w:t>
      </w:r>
    </w:p>
    <w:p>
      <w:pPr>
        <w:spacing w:after="80" w:line="300" w:lineRule="auto"/>
        <w:numPr>
          <w:ilvl w:val="0"/>
          <w:numId w:val="1"/>
        </w:numPr>
      </w:pPr>
      <w:r>
        <w:rPr>
          <w:rFonts w:ascii="Schibsted Grotesk" w:hAnsi="Schibsted Grotesk"/>
          <w:sz w:val="21"/>
          <w:color w:val="121B17"/>
        </w:rPr>
        <w:t xml:space="preserve">The vendor receives the least access the work requires, requested in writing, granted by the client, and issued per person. No shared logins.</w:t>
      </w:r>
    </w:p>
    <w:p>
      <w:pPr>
        <w:spacing w:after="80" w:line="300" w:lineRule="auto"/>
        <w:numPr>
          <w:ilvl w:val="0"/>
          <w:numId w:val="1"/>
        </w:numPr>
      </w:pPr>
      <w:r>
        <w:rPr>
          <w:rFonts w:ascii="Schibsted Grotesk" w:hAnsi="Schibsted Grotesk"/>
          <w:sz w:val="21"/>
          <w:color w:val="121B17"/>
        </w:rPr>
        <w:t xml:space="preserve">Credentials travel through the client's secret manager or another encrypted channel, never through email or chat.</w:t>
      </w:r>
    </w:p>
    <w:p>
      <w:pPr>
        <w:spacing w:after="80" w:line="300" w:lineRule="auto"/>
        <w:numPr>
          <w:ilvl w:val="0"/>
          <w:numId w:val="1"/>
        </w:numPr>
      </w:pPr>
      <w:r>
        <w:rPr>
          <w:rFonts w:ascii="Schibsted Grotesk" w:hAnsi="Schibsted Grotesk"/>
          <w:sz w:val="21"/>
          <w:color w:val="121B17"/>
        </w:rPr>
        <w:t xml:space="preserve">Production data is not copied to a developer machine. Where production-like data is needed, it is anonymized first.</w:t>
      </w:r>
    </w:p>
    <w:p>
      <w:pPr>
        <w:spacing w:after="80" w:line="300" w:lineRule="auto"/>
        <w:numPr>
          <w:ilvl w:val="0"/>
          <w:numId w:val="1"/>
        </w:numPr>
      </w:pPr>
      <w:r>
        <w:rPr>
          <w:rFonts w:ascii="Schibsted Grotesk" w:hAnsi="Schibsted Grotesk"/>
          <w:sz w:val="21"/>
          <w:color w:val="121B17"/>
        </w:rPr>
        <w:t xml:space="preserve">All vendor access is revoked within </w:t>
      </w:r>
      <w:r>
        <w:rPr>
          <w:rFonts w:ascii="Schibsted Grotesk" w:hAnsi="Schibsted Grotesk"/>
          <w:i/>
          <w:sz w:val="21"/>
          <w:color w:val="121B17"/>
        </w:rPr>
        <w:t xml:space="preserve">recommended default: 5 business days</w:t>
      </w:r>
      <w:r>
        <w:rPr>
          <w:rFonts w:ascii="Schibsted Grotesk" w:hAnsi="Schibsted Grotesk"/>
          <w:sz w:val="21"/>
          <w:color w:val="121B17"/>
        </w:rPr>
        <w:t xml:space="preserve"> of the engagement ending, and the client confirms the revocation in writing.</w:t>
      </w:r>
    </w:p>
    <w:p>
      <w:pPr>
        <w:spacing w:after="120" w:line="260" w:lineRule="auto"/>
        <w:pBdr>
          <w:bottom w:val="single" w:sz="4" w:space="4" w:color="D3D9D6"/>
        </w:pBdr>
      </w:pPr>
      <w:r>
        <w:rPr>
          <w:rFonts w:ascii="Schibsted Grotesk" w:hAnsi="Schibsted Grotesk"/>
          <w:b/>
          <w:sz w:val="26"/>
          <w:color w:val="121B17"/>
        </w:rPr>
        <w:t xml:space="preserve">10. Confidentiality and data protection</w:t>
      </w:r>
    </w:p>
    <w:p>
      <w:pPr>
        <w:spacing w:after="80" w:line="300" w:lineRule="auto"/>
        <w:numPr>
          <w:ilvl w:val="0"/>
          <w:numId w:val="1"/>
        </w:numPr>
      </w:pPr>
      <w:r>
        <w:rPr>
          <w:rFonts w:ascii="Schibsted Grotesk" w:hAnsi="Schibsted Grotesk"/>
          <w:sz w:val="21"/>
          <w:color w:val="121B17"/>
        </w:rPr>
        <w:t xml:space="preserve">Mutual NDA covers business data in both directions.</w:t>
      </w:r>
    </w:p>
    <w:p>
      <w:pPr>
        <w:spacing w:after="80" w:line="300" w:lineRule="auto"/>
        <w:numPr>
          <w:ilvl w:val="0"/>
          <w:numId w:val="1"/>
        </w:numPr>
      </w:pPr>
      <w:r>
        <w:rPr>
          <w:rFonts w:ascii="Schibsted Grotesk" w:hAnsi="Schibsted Grotesk"/>
          <w:sz w:val="21"/>
          <w:color w:val="121B17"/>
        </w:rPr>
        <w:t xml:space="preserve">Where the vendor processes personal data on the client's behalf, a written processing agreement under GDPR Article 28 applies: purpose, categories of data, security measures, and deletion at the end.</w:t>
      </w:r>
    </w:p>
    <w:p>
      <w:pPr>
        <w:spacing w:after="80" w:line="300" w:lineRule="auto"/>
        <w:numPr>
          <w:ilvl w:val="0"/>
          <w:numId w:val="1"/>
        </w:numPr>
      </w:pPr>
      <w:r>
        <w:rPr>
          <w:rFonts w:ascii="Schibsted Grotesk" w:hAnsi="Schibsted Grotesk"/>
          <w:sz w:val="21"/>
          <w:color w:val="121B17"/>
        </w:rPr>
        <w:t xml:space="preserve">Subprocessors are listed in advance and changed only with notice, which the client may object to. The list covers everything that sees client data, including hosting, error tracking, and AI coding tools.</w:t>
      </w:r>
    </w:p>
    <w:p>
      <w:pPr>
        <w:spacing w:after="80" w:line="300" w:lineRule="auto"/>
        <w:numPr>
          <w:ilvl w:val="0"/>
          <w:numId w:val="1"/>
        </w:numPr>
      </w:pPr>
      <w:r>
        <w:rPr>
          <w:rFonts w:ascii="Schibsted Grotesk" w:hAnsi="Schibsted Grotesk"/>
          <w:sz w:val="21"/>
          <w:color w:val="121B17"/>
        </w:rPr>
        <w:t xml:space="preserve">Processing and storage locations are named. Recommended default: EU/EEA only, or a documented transfer mechanism.</w:t>
      </w:r>
    </w:p>
    <w:p>
      <w:pPr>
        <w:spacing w:after="80" w:line="300" w:lineRule="auto"/>
        <w:numPr>
          <w:ilvl w:val="0"/>
          <w:numId w:val="1"/>
        </w:numPr>
      </w:pPr>
      <w:r>
        <w:rPr>
          <w:rFonts w:ascii="Schibsted Grotesk" w:hAnsi="Schibsted Grotesk"/>
          <w:sz w:val="21"/>
          <w:color w:val="121B17"/>
        </w:rPr>
        <w:t xml:space="preserve">The vendor may describe the engagement publicly only in anonymized form unless the client approves naming in writing.</w:t>
      </w:r>
    </w:p>
    <w:p>
      <w:pPr>
        <w:spacing w:after="200" w:line="300" w:lineRule="auto"/>
        <w:pBdr>
          <w:bottom w:val="single" w:sz="4" w:space="4" w:color="D3D9D6"/>
        </w:pBdr>
      </w:pPr>
    </w:p>
    <w:p>
      <w:pPr>
        <w:spacing w:after="160" w:line="300" w:lineRule="auto"/>
      </w:pPr>
      <w:r>
        <w:rPr>
          <w:rFonts w:ascii="Schibsted Grotesk" w:hAnsi="Schibsted Grotesk"/>
          <w:i/>
          <w:sz w:val="21"/>
          <w:color w:val="121B17"/>
        </w:rPr>
        <w:t xml:space="preserve">Version: fill in. Signed: both technical points of contact, the people doing and receiving the work, not only the people billing it.</w:t>
      </w:r>
    </w:p>
    <w:p>
      <w:pPr>
        <w:spacing w:after="160" w:line="300" w:lineRule="auto"/>
      </w:pPr>
      <w:r>
        <w:rPr>
          <w:rFonts w:ascii="Schibsted Grotesk" w:hAnsi="Schibsted Grotesk"/>
          <w:i/>
          <w:sz w:val="21"/>
          <w:color w:val="121B17"/>
        </w:rPr>
        <w:t xml:space="preserve">Engagement Agreement, template version 1.0, by Zapolu s.r.o., zapolu.com, licensed under CC BY 4.0 (creativecommons.org/licenses/by/4.0/).</w:t>
      </w:r>
    </w:p>
    <w:sectPr>
      <w:footerReference w:type="default" r:id="rIdFooter"/>
      <w:pgSz w:w="11906" w:h="16838"/>
      <w:pgMar w:top="1134" w:right="1134" w:bottom="1020" w:left="1134" w:header="680" w:footer="567"/>
    </w:sectPr>
  </w:body>
</w:document>
</file>

<file path=word/footer1.xml><?xml version="1.0" encoding="utf-8"?>
<w:ftr xmlns:w="http://schemas.openxmlformats.org/wordprocessingml/2006/main" xmlns:r="http://schemas.openxmlformats.org/officeDocument/2006/relationships">
  <w:p>
    <w:pPr>
      <w:pBdr>
        <w:top w:val="single" w:sz="4" w:space="8" w:color="D3D9D6"/>
      </w:pBdr>
    </w:pPr>
    <w:r>
      <w:rPr>
        <w:rFonts w:ascii="Schibsted Grotesk" w:hAnsi="Schibsted Grotesk"/>
        <w:sz w:val="14"/>
        <w:color w:val="4B5952"/>
      </w:rPr>
      <w:t xml:space="preserve">Zapolu s.r.o., zapolu.com</w:t>
    </w:r>
  </w:p>
</w:ftr>
</file>

<file path=word/numbering.xml><?xml version="1.0" encoding="utf-8"?>
<w:numbering xmlns:w="http://schemas.openxmlformats.org/wordprocessingml/2006/main" xmlns:r="http://schemas.openxmlformats.org/officeDocument/2006/relationships">
  <w:abstractNum w:abstractNumId="0">
    <w:lvl w:ilvl="0">
      <w:start w:val="1"/>
      <w:numFmt w:val="bullet"/>
      <w:lvlText w:val="•"/>
      <w:lvlJc w:val="left"/>
      <w:pPr>
        <w:ind w:left="340" w:hanging="227"/>
      </w:pPr>
      <w:rPr>
        <w:rFonts w:ascii="Schibsted Grotesk" w:hAnsi="Schibsted Grotesk"/>
      </w:rPr>
    </w:lvl>
  </w:abstractNum>
  <w:num w:numId="1">
    <w:abstractNumId w:val="0"/>
  </w:num>
</w:numbering>
</file>

<file path=word/_rels/document.xml.rels><?xml version="1.0" encoding="UTF-8" standalone="yes"?>
<Relationships xmlns="http://schemas.openxmlformats.org/package/2006/relationships">
<Relationship Id="rIdNumbering" Type="http://schemas.openxmlformats.org/officeDocument/2006/relationships/numbering" Target="numbering.xml"/>
<Relationship Id="rIdFooter" Type="http://schemas.openxmlformats.org/officeDocument/2006/relationships/footer" Target="footer1.xml"/>
<Relationship Id="rIdLink0" Type="http://schemas.openxmlformats.org/officeDocument/2006/relationships/hyperlink" Target="https://zapolu.com/downloads/zapolu-engagement-template.pdf" TargetMode="External"/>
</Relationships>
</file>