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spacing w:after="200" w:line="260" w:lineRule="auto"/>
      </w:pPr>
      <w:r>
        <w:rPr>
          <w:rFonts w:ascii="Schibsted Grotesk" w:hAnsi="Schibsted Grotesk"/>
          <w:b/>
          <w:sz w:val="40"/>
          <w:color w:val="121B17"/>
        </w:rPr>
        <w:t xml:space="preserve">Engagement-Vereinbarung: Arbeitsdokument</w:t>
      </w:r>
    </w:p>
    <w:p>
      <w:pPr>
        <w:spacing w:after="240" w:line="300" w:lineRule="auto"/>
        <w:ind w:left="340"/>
        <w:pBdr>
          <w:left w:val="single" w:sz="18" w:space="8" w:color="156446"/>
        </w:pBdr>
      </w:pPr>
      <w:r>
        <w:rPr>
          <w:rFonts w:ascii="Schibsted Grotesk" w:hAnsi="Schibsted Grotesk"/>
          <w:sz w:val="19"/>
          <w:color w:val="4B5952"/>
        </w:rPr>
        <w:t xml:space="preserve">Vorlage veröffentlicht von Zapolu s.r.o. (zapolu.com) unter CC BY 4.0: Sie kann mit Zapolu oder mit jedem anderen Auftragnehmer verwendet werden, kommerziell oder nicht, solange die Namensnennung am Ende erhalten bleibt. Sie ist eine Arbeitsvereinbarung, keine Rechtsberatung; lassen Sie die vertraglichen Teile von Ihrem Rechtsbeistand prüfen. Vorlagenversion 1.0, 1. August 2026. Die aktuelle Fassung steht unter </w:t>
      </w:r>
      <w:hyperlink r:id="rIdLink0">
        <w:r>
          <w:rPr>
            <w:rFonts w:ascii="Schibsted Grotesk" w:hAnsi="Schibsted Grotesk"/>
            <w:u w:val="single"/>
            <w:sz w:val="19"/>
            <w:color w:val="156446"/>
          </w:rPr>
          <w:t xml:space="preserve">zapolu.com/downloads</w:t>
        </w:r>
      </w:hyperlink>
      <w:r>
        <w:rPr>
          <w:rFonts w:ascii="Schibsted Grotesk" w:hAnsi="Schibsted Grotesk"/>
          <w:sz w:val="19"/>
          <w:color w:val="4B5952"/>
        </w:rPr>
        <w:t xml:space="preserve">.</w:t>
      </w:r>
    </w:p>
    <w:p>
      <w:pPr>
        <w:spacing w:after="160" w:line="300" w:lineRule="auto"/>
      </w:pPr>
      <w:r>
        <w:rPr>
          <w:rFonts w:ascii="Schibsted Grotesk" w:hAnsi="Schibsted Grotesk"/>
          <w:sz w:val="21"/>
          <w:color w:val="121B17"/>
        </w:rPr>
        <w:t xml:space="preserve">Wo diese Vorlage eine Leerstelle lässt, nennt sie einen empfohlenen Standardwert oder ein ausgearbeitetes Beispiel. Ändern Sie einen Standardwert bewusst, wo er nicht passt, statt die Leerstelle offen zu lassen.</w:t>
      </w:r>
    </w:p>
    <w:p>
      <w:pPr>
        <w:spacing w:after="120" w:line="260" w:lineRule="auto"/>
        <w:pBdr>
          <w:bottom w:val="single" w:sz="4" w:space="4" w:color="D3D9D6"/>
        </w:pBdr>
      </w:pPr>
      <w:r>
        <w:rPr>
          <w:rFonts w:ascii="Schibsted Grotesk" w:hAnsi="Schibsted Grotesk"/>
          <w:b/>
          <w:sz w:val="26"/>
          <w:color w:val="121B17"/>
        </w:rPr>
        <w:t xml:space="preserve">1. Umfang</w:t>
      </w:r>
    </w:p>
    <w:p>
      <w:pPr>
        <w:spacing w:after="80" w:line="300" w:lineRule="auto"/>
        <w:numPr>
          <w:ilvl w:val="0"/>
          <w:numId w:val="1"/>
        </w:numPr>
      </w:pPr>
      <w:r>
        <w:rPr>
          <w:rFonts w:ascii="Schibsted Grotesk" w:hAnsi="Schibsted Grotesk"/>
          <w:b/>
          <w:sz w:val="21"/>
          <w:color w:val="121B17"/>
        </w:rPr>
        <w:t xml:space="preserve">Was wir tun:</w:t>
      </w:r>
      <w:r>
        <w:rPr>
          <w:rFonts w:ascii="Schibsted Grotesk" w:hAnsi="Schibsted Grotesk"/>
          <w:sz w:val="21"/>
          <w:color w:val="121B17"/>
        </w:rPr>
        <w:t xml:space="preserve"> </w:t>
      </w:r>
      <w:r>
        <w:rPr>
          <w:rFonts w:ascii="Schibsted Grotesk" w:hAnsi="Schibsted Grotesk"/>
          <w:i/>
          <w:sz w:val="21"/>
          <w:color w:val="121B17"/>
        </w:rPr>
        <w:t xml:space="preserve">ein Absatz, in klarer Sprache. Ein Umfang, der sich nicht in einem Absatz beschreiben lässt, sollte in zwei Engagements aufgeteilt werden.</w:t>
      </w:r>
    </w:p>
    <w:p>
      <w:pPr>
        <w:spacing w:after="80" w:line="300" w:lineRule="auto"/>
        <w:numPr>
          <w:ilvl w:val="0"/>
          <w:numId w:val="1"/>
        </w:numPr>
      </w:pPr>
      <w:r>
        <w:rPr>
          <w:rFonts w:ascii="Schibsted Grotesk" w:hAnsi="Schibsted Grotesk"/>
          <w:b/>
          <w:sz w:val="21"/>
          <w:color w:val="121B17"/>
        </w:rPr>
        <w:t xml:space="preserve">Was wir ausdrücklich nicht tun:</w:t>
      </w:r>
      <w:r>
        <w:rPr>
          <w:rFonts w:ascii="Schibsted Grotesk" w:hAnsi="Schibsted Grotesk"/>
          <w:sz w:val="21"/>
          <w:color w:val="121B17"/>
        </w:rPr>
        <w:t xml:space="preserve"> </w:t>
      </w:r>
      <w:r>
        <w:rPr>
          <w:rFonts w:ascii="Schibsted Grotesk" w:hAnsi="Schibsted Grotesk"/>
          <w:i/>
          <w:sz w:val="21"/>
          <w:color w:val="121B17"/>
        </w:rPr>
        <w:t xml:space="preserve">auflisten, was ein Leser sonst für inbegriffen halten könnte.</w:t>
      </w:r>
    </w:p>
    <w:p>
      <w:pPr>
        <w:spacing w:after="80" w:line="300" w:lineRule="auto"/>
        <w:numPr>
          <w:ilvl w:val="0"/>
          <w:numId w:val="1"/>
        </w:numPr>
      </w:pPr>
      <w:r>
        <w:rPr>
          <w:rFonts w:ascii="Schibsted Grotesk" w:hAnsi="Schibsted Grotesk"/>
          <w:b/>
          <w:sz w:val="21"/>
          <w:color w:val="121B17"/>
        </w:rPr>
        <w:t xml:space="preserve">Erfolgskriterien:</w:t>
      </w:r>
      <w:r>
        <w:rPr>
          <w:rFonts w:ascii="Schibsted Grotesk" w:hAnsi="Schibsted Grotesk"/>
          <w:sz w:val="21"/>
          <w:color w:val="121B17"/>
        </w:rPr>
        <w:t xml:space="preserve"> </w:t>
      </w:r>
      <w:r>
        <w:rPr>
          <w:rFonts w:ascii="Schibsted Grotesk" w:hAnsi="Schibsted Grotesk"/>
          <w:i/>
          <w:sz w:val="21"/>
          <w:color w:val="121B17"/>
        </w:rPr>
        <w:t xml:space="preserve">messbar, vereinbart vor Arbeitsbeginn. Beispiel: „Checkout-LCP ≤ 1,5 s bei p75 anhand von Felddaten“, nicht „die Seite fühlt sich schneller an“.</w:t>
      </w:r>
    </w:p>
    <w:p>
      <w:pPr>
        <w:spacing w:after="120" w:line="260" w:lineRule="auto"/>
        <w:pBdr>
          <w:bottom w:val="single" w:sz="4" w:space="4" w:color="D3D9D6"/>
        </w:pBdr>
      </w:pPr>
      <w:r>
        <w:rPr>
          <w:rFonts w:ascii="Schibsted Grotesk" w:hAnsi="Schibsted Grotesk"/>
          <w:b/>
          <w:sz w:val="26"/>
          <w:color w:val="121B17"/>
        </w:rPr>
        <w:t xml:space="preserve">2. Personen und Unterauftragnehmer</w:t>
      </w:r>
    </w:p>
    <w:p>
      <w:pPr>
        <w:spacing w:after="80" w:line="300" w:lineRule="auto"/>
        <w:numPr>
          <w:ilvl w:val="0"/>
          <w:numId w:val="1"/>
        </w:numPr>
      </w:pPr>
      <w:r>
        <w:rPr>
          <w:rFonts w:ascii="Schibsted Grotesk" w:hAnsi="Schibsted Grotesk"/>
          <w:b/>
          <w:sz w:val="21"/>
          <w:color w:val="121B17"/>
        </w:rPr>
        <w:t xml:space="preserve">Technische Ansprechperson des Kunden:</w:t>
      </w:r>
      <w:r>
        <w:rPr>
          <w:rFonts w:ascii="Schibsted Grotesk" w:hAnsi="Schibsted Grotesk"/>
          <w:sz w:val="21"/>
          <w:color w:val="121B17"/>
        </w:rPr>
        <w:t xml:space="preserve"> </w:t>
      </w:r>
      <w:r>
        <w:rPr>
          <w:rFonts w:ascii="Schibsted Grotesk" w:hAnsi="Schibsted Grotesk"/>
          <w:i/>
          <w:sz w:val="21"/>
          <w:color w:val="121B17"/>
        </w:rPr>
        <w:t xml:space="preserve">Name</w:t>
      </w:r>
      <w:r>
        <w:rPr>
          <w:rFonts w:ascii="Schibsted Grotesk" w:hAnsi="Schibsted Grotesk"/>
          <w:sz w:val="21"/>
          <w:color w:val="121B17"/>
        </w:rPr>
        <w:t xml:space="preserve">. Hat die Befugnis, eigenständig zu entscheiden, und ein eingeplantes Zeitbudget von 1–2 h/Woche für dieses Engagement.</w:t>
      </w:r>
    </w:p>
    <w:p>
      <w:pPr>
        <w:spacing w:after="80" w:line="300" w:lineRule="auto"/>
        <w:numPr>
          <w:ilvl w:val="0"/>
          <w:numId w:val="1"/>
        </w:numPr>
      </w:pPr>
      <w:r>
        <w:rPr>
          <w:rFonts w:ascii="Schibsted Grotesk" w:hAnsi="Schibsted Grotesk"/>
          <w:b/>
          <w:sz w:val="21"/>
          <w:color w:val="121B17"/>
        </w:rPr>
        <w:t xml:space="preserve">Engineers des Auftragnehmers in diesem Engagement:</w:t>
      </w:r>
      <w:r>
        <w:rPr>
          <w:rFonts w:ascii="Schibsted Grotesk" w:hAnsi="Schibsted Grotesk"/>
          <w:sz w:val="21"/>
          <w:color w:val="121B17"/>
        </w:rPr>
        <w:t xml:space="preserve"> </w:t>
      </w:r>
      <w:r>
        <w:rPr>
          <w:rFonts w:ascii="Schibsted Grotesk" w:hAnsi="Schibsted Grotesk"/>
          <w:i/>
          <w:sz w:val="21"/>
          <w:color w:val="121B17"/>
        </w:rPr>
        <w:t xml:space="preserve">Namen</w:t>
      </w:r>
      <w:r>
        <w:rPr>
          <w:rFonts w:ascii="Schibsted Grotesk" w:hAnsi="Schibsted Grotesk"/>
          <w:sz w:val="21"/>
          <w:color w:val="121B17"/>
        </w:rPr>
        <w:t xml:space="preserve">. Die aufgeführten Engineers schreiben den Code und nehmen an den Besprechungen teil. Ein Austausch erfordert die schriftliche Zustimmung des Kunden.</w:t>
      </w:r>
    </w:p>
    <w:p>
      <w:pPr>
        <w:spacing w:after="80" w:line="300" w:lineRule="auto"/>
        <w:numPr>
          <w:ilvl w:val="0"/>
          <w:numId w:val="1"/>
        </w:numPr>
      </w:pPr>
      <w:r>
        <w:rPr>
          <w:rFonts w:ascii="Schibsted Grotesk" w:hAnsi="Schibsted Grotesk"/>
          <w:sz w:val="21"/>
          <w:color w:val="121B17"/>
        </w:rPr>
        <w:t xml:space="preserve">Unterauftragnehmer werden vorab benannt oder nicht eingesetzt. Empfohlener Standardwert: keine ohne schriftliche Zustimmung. Ein Unterauftragnehmer ist an jede Klausel hier gebunden, und der Auftragnehmer haftet weiterhin für dessen Arbeit.</w:t>
      </w:r>
    </w:p>
    <w:p>
      <w:pPr>
        <w:spacing w:after="120" w:line="260" w:lineRule="auto"/>
        <w:pBdr>
          <w:bottom w:val="single" w:sz="4" w:space="4" w:color="D3D9D6"/>
        </w:pBdr>
      </w:pPr>
      <w:r>
        <w:rPr>
          <w:rFonts w:ascii="Schibsted Grotesk" w:hAnsi="Schibsted Grotesk"/>
          <w:b/>
          <w:sz w:val="26"/>
          <w:color w:val="121B17"/>
        </w:rPr>
        <w:t xml:space="preserve">3. Arbeitsrhythmus und Transparenz</w:t>
      </w:r>
    </w:p>
    <w:p>
      <w:pPr>
        <w:spacing w:after="80" w:line="300" w:lineRule="auto"/>
        <w:numPr>
          <w:ilvl w:val="0"/>
          <w:numId w:val="1"/>
        </w:numPr>
      </w:pPr>
      <w:r>
        <w:rPr>
          <w:rFonts w:ascii="Schibsted Grotesk" w:hAnsi="Schibsted Grotesk"/>
          <w:sz w:val="21"/>
          <w:color w:val="121B17"/>
        </w:rPr>
        <w:t xml:space="preserve">Gearbeitet wird im </w:t>
      </w:r>
      <w:r>
        <w:rPr>
          <w:rFonts w:ascii="Schibsted Grotesk" w:hAnsi="Schibsted Grotesk"/>
          <w:b/>
          <w:sz w:val="21"/>
          <w:color w:val="121B17"/>
        </w:rPr>
        <w:t xml:space="preserve">Repository und in der Organisation des Kunden</w:t>
      </w:r>
      <w:r>
        <w:rPr>
          <w:rFonts w:ascii="Schibsted Grotesk" w:hAnsi="Schibsted Grotesk"/>
          <w:sz w:val="21"/>
          <w:color w:val="121B17"/>
        </w:rPr>
        <w:t xml:space="preserve">, in kleinen, gut prüfbaren Pull Requests, vom ersten Tag an.</w:t>
      </w:r>
    </w:p>
    <w:p>
      <w:pPr>
        <w:spacing w:after="80" w:line="300" w:lineRule="auto"/>
        <w:numPr>
          <w:ilvl w:val="0"/>
          <w:numId w:val="1"/>
        </w:numPr>
      </w:pPr>
      <w:r>
        <w:rPr>
          <w:rFonts w:ascii="Schibsted Grotesk" w:hAnsi="Schibsted Grotesk"/>
          <w:b/>
          <w:sz w:val="21"/>
          <w:color w:val="121B17"/>
        </w:rPr>
        <w:t xml:space="preserve">Wöchentlicher schriftlicher Check-in</w:t>
      </w:r>
      <w:r>
        <w:rPr>
          <w:rFonts w:ascii="Schibsted Grotesk" w:hAnsi="Schibsted Grotesk"/>
          <w:sz w:val="21"/>
          <w:color w:val="121B17"/>
        </w:rPr>
        <w:t xml:space="preserve"> (geliefert / als Nächstes / blockiert / Entscheidungen nötig), jede Woche, auch in Wochen mit negativen Ergebnissen.</w:t>
      </w:r>
    </w:p>
    <w:p>
      <w:pPr>
        <w:spacing w:after="80" w:line="300" w:lineRule="auto"/>
        <w:numPr>
          <w:ilvl w:val="0"/>
          <w:numId w:val="1"/>
        </w:numPr>
      </w:pPr>
      <w:r>
        <w:rPr>
          <w:rFonts w:ascii="Schibsted Grotesk" w:hAnsi="Schibsted Grotesk"/>
          <w:sz w:val="21"/>
          <w:color w:val="121B17"/>
        </w:rPr>
        <w:t xml:space="preserve">Status-Meetings finden nur mit Agenda statt; ansonsten ersetzt sie der schriftliche Check-in.</w:t>
      </w:r>
    </w:p>
    <w:p>
      <w:pPr>
        <w:spacing w:after="120" w:line="260" w:lineRule="auto"/>
        <w:pBdr>
          <w:bottom w:val="single" w:sz="4" w:space="4" w:color="D3D9D6"/>
        </w:pBdr>
      </w:pPr>
      <w:r>
        <w:rPr>
          <w:rFonts w:ascii="Schibsted Grotesk" w:hAnsi="Schibsted Grotesk"/>
          <w:b/>
          <w:sz w:val="26"/>
          <w:color w:val="121B17"/>
        </w:rPr>
        <w:t xml:space="preserve">4. Kommerzielle Konditionen</w:t>
      </w:r>
    </w:p>
    <w:p>
      <w:pPr>
        <w:spacing w:after="80" w:line="300" w:lineRule="auto"/>
        <w:numPr>
          <w:ilvl w:val="0"/>
          <w:numId w:val="1"/>
        </w:numPr>
      </w:pPr>
      <w:r>
        <w:rPr>
          <w:rFonts w:ascii="Schibsted Grotesk" w:hAnsi="Schibsted Grotesk"/>
          <w:sz w:val="21"/>
          <w:color w:val="121B17"/>
        </w:rPr>
        <w:t xml:space="preserve">Modell: </w:t>
      </w:r>
      <w:r>
        <w:rPr>
          <w:rFonts w:ascii="Schibsted Grotesk" w:hAnsi="Schibsted Grotesk"/>
          <w:i/>
          <w:sz w:val="21"/>
          <w:color w:val="121B17"/>
        </w:rPr>
        <w:t xml:space="preserve">Festpreis / wöchentliche Abrechnung mit Obergrenze / monatlicher Retainer mit festgelegten Stunden</w:t>
      </w:r>
      <w:r>
        <w:rPr>
          <w:rFonts w:ascii="Schibsted Grotesk" w:hAnsi="Schibsted Grotesk"/>
          <w:sz w:val="21"/>
          <w:color w:val="121B17"/>
        </w:rPr>
        <w:t xml:space="preserve"> (eines wählen; gemischte Modelle pro Phase sind zulässig).</w:t>
      </w:r>
    </w:p>
    <w:p>
      <w:pPr>
        <w:spacing w:after="80" w:line="300" w:lineRule="auto"/>
        <w:numPr>
          <w:ilvl w:val="0"/>
          <w:numId w:val="1"/>
        </w:numPr>
      </w:pPr>
      <w:r>
        <w:rPr>
          <w:rFonts w:ascii="Schibsted Grotesk" w:hAnsi="Schibsted Grotesk"/>
          <w:sz w:val="21"/>
          <w:color w:val="121B17"/>
        </w:rPr>
        <w:t xml:space="preserve">Änderungswünsche werden schriftlich festgehalten, geschätzt und vor Arbeitsbeginn freigegeben; Rechnungen enthalten keine Posten, die nicht vorab freigegeben wurden.</w:t>
      </w:r>
    </w:p>
    <w:p>
      <w:pPr>
        <w:spacing w:after="80" w:line="300" w:lineRule="auto"/>
        <w:numPr>
          <w:ilvl w:val="0"/>
          <w:numId w:val="1"/>
        </w:numPr>
      </w:pPr>
      <w:r>
        <w:rPr>
          <w:rFonts w:ascii="Schibsted Grotesk" w:hAnsi="Schibsted Grotesk"/>
          <w:sz w:val="21"/>
          <w:color w:val="121B17"/>
        </w:rPr>
        <w:t xml:space="preserve">Zahlungsbedingungen: </w:t>
      </w:r>
      <w:r>
        <w:rPr>
          <w:rFonts w:ascii="Schibsted Grotesk" w:hAnsi="Schibsted Grotesk"/>
          <w:i/>
          <w:sz w:val="21"/>
          <w:color w:val="121B17"/>
        </w:rPr>
        <w:t xml:space="preserve">empfohlener Standardwert: 14 Tage netto. Die Arbeit pausiert nach schriftlicher Ankündigung, wenn eine unbestrittene Rechnung 14 Tage überfällig ist.</w:t>
      </w:r>
    </w:p>
    <w:p>
      <w:pPr>
        <w:spacing w:after="80" w:line="300" w:lineRule="auto"/>
        <w:numPr>
          <w:ilvl w:val="0"/>
          <w:numId w:val="1"/>
        </w:numPr>
      </w:pPr>
      <w:r>
        <w:rPr>
          <w:rFonts w:ascii="Schibsted Grotesk" w:hAnsi="Schibsted Grotesk"/>
          <w:sz w:val="21"/>
          <w:color w:val="121B17"/>
        </w:rPr>
        <w:t xml:space="preserve">Auslagen (Reisen, Lizenzen, Dienste Dritter) werden zum Selbstkostenpreis abgerechnet. Empfohlener Standardwert: keine ohne vorherige schriftliche Zustimmung.</w:t>
      </w:r>
    </w:p>
    <w:p>
      <w:pPr>
        <w:spacing w:after="120" w:line="260" w:lineRule="auto"/>
        <w:pBdr>
          <w:bottom w:val="single" w:sz="4" w:space="4" w:color="D3D9D6"/>
        </w:pBdr>
      </w:pPr>
      <w:r>
        <w:rPr>
          <w:rFonts w:ascii="Schibsted Grotesk" w:hAnsi="Schibsted Grotesk"/>
          <w:b/>
          <w:sz w:val="26"/>
          <w:color w:val="121B17"/>
        </w:rPr>
        <w:t xml:space="preserve">5. Abnahme und Mängel</w:t>
      </w:r>
    </w:p>
    <w:p>
      <w:pPr>
        <w:spacing w:after="80" w:line="300" w:lineRule="auto"/>
        <w:numPr>
          <w:ilvl w:val="0"/>
          <w:numId w:val="1"/>
        </w:numPr>
      </w:pPr>
      <w:r>
        <w:rPr>
          <w:rFonts w:ascii="Schibsted Grotesk" w:hAnsi="Schibsted Grotesk"/>
          <w:sz w:val="21"/>
          <w:color w:val="121B17"/>
        </w:rPr>
        <w:t xml:space="preserve">Abgenommen wird gegen die Erfolgskriterien aus Abschnitt 1, nicht gegen einen Eindruck.</w:t>
      </w:r>
    </w:p>
    <w:p>
      <w:pPr>
        <w:spacing w:after="80" w:line="300" w:lineRule="auto"/>
        <w:numPr>
          <w:ilvl w:val="0"/>
          <w:numId w:val="1"/>
        </w:numPr>
      </w:pPr>
      <w:r>
        <w:rPr>
          <w:rFonts w:ascii="Schibsted Grotesk" w:hAnsi="Schibsted Grotesk"/>
          <w:sz w:val="21"/>
          <w:color w:val="121B17"/>
        </w:rPr>
        <w:t xml:space="preserve">Der Kunde hat </w:t>
      </w:r>
      <w:r>
        <w:rPr>
          <w:rFonts w:ascii="Schibsted Grotesk" w:hAnsi="Schibsted Grotesk"/>
          <w:i/>
          <w:sz w:val="21"/>
          <w:color w:val="121B17"/>
        </w:rPr>
        <w:t xml:space="preserve">empfohlener Standardwert: 10 Arbeitstage</w:t>
      </w:r>
      <w:r>
        <w:rPr>
          <w:rFonts w:ascii="Schibsted Grotesk" w:hAnsi="Schibsted Grotesk"/>
          <w:sz w:val="21"/>
          <w:color w:val="121B17"/>
        </w:rPr>
        <w:t xml:space="preserve"> ab Lieferung, um abzunehmen oder schriftlich zu benennen, welches Kriterium nicht erfüllt ist. Nach Ablauf dieser Frist gilt die Arbeit als abgenommen.</w:t>
      </w:r>
    </w:p>
    <w:p>
      <w:pPr>
        <w:spacing w:after="80" w:line="300" w:lineRule="auto"/>
        <w:numPr>
          <w:ilvl w:val="0"/>
          <w:numId w:val="1"/>
        </w:numPr>
      </w:pPr>
      <w:r>
        <w:rPr>
          <w:rFonts w:ascii="Schibsted Grotesk" w:hAnsi="Schibsted Grotesk"/>
          <w:sz w:val="21"/>
          <w:color w:val="121B17"/>
        </w:rPr>
        <w:t xml:space="preserve">Mängel, die bei der Übergabe bereits vorlagen, werden </w:t>
      </w:r>
      <w:r>
        <w:rPr>
          <w:rFonts w:ascii="Schibsted Grotesk" w:hAnsi="Schibsted Grotesk"/>
          <w:i/>
          <w:sz w:val="21"/>
          <w:color w:val="121B17"/>
        </w:rPr>
        <w:t xml:space="preserve">empfohlener Standardwert: 90 Tage</w:t>
      </w:r>
      <w:r>
        <w:rPr>
          <w:rFonts w:ascii="Schibsted Grotesk" w:hAnsi="Schibsted Grotesk"/>
          <w:sz w:val="21"/>
          <w:color w:val="121B17"/>
        </w:rPr>
        <w:t xml:space="preserve"> lang kostenfrei behoben. Eine Umfangsänderung ist ein Änderungswunsch nach Abschnitt 4, kein Mangel.</w:t>
      </w:r>
    </w:p>
    <w:p>
      <w:pPr>
        <w:spacing w:after="120" w:line="260" w:lineRule="auto"/>
        <w:pBdr>
          <w:bottom w:val="single" w:sz="4" w:space="4" w:color="D3D9D6"/>
        </w:pBdr>
      </w:pPr>
      <w:r>
        <w:rPr>
          <w:rFonts w:ascii="Schibsted Grotesk" w:hAnsi="Schibsted Grotesk"/>
          <w:b/>
          <w:sz w:val="26"/>
          <w:color w:val="121B17"/>
        </w:rPr>
        <w:t xml:space="preserve">6. Eigentum, bestehende Rechte und Ausstieg</w:t>
      </w:r>
    </w:p>
    <w:p>
      <w:pPr>
        <w:spacing w:after="80" w:line="300" w:lineRule="auto"/>
        <w:numPr>
          <w:ilvl w:val="0"/>
          <w:numId w:val="1"/>
        </w:numPr>
      </w:pPr>
      <w:r>
        <w:rPr>
          <w:rFonts w:ascii="Schibsted Grotesk" w:hAnsi="Schibsted Grotesk"/>
          <w:sz w:val="21"/>
          <w:color w:val="121B17"/>
        </w:rPr>
        <w:t xml:space="preserve">Der gesamte Code sowie sämtliche Konfiguration und Dokumentation, die für dieses Engagement entstehen, gehören dem Kunden </w:t>
      </w:r>
      <w:r>
        <w:rPr>
          <w:rFonts w:ascii="Schibsted Grotesk" w:hAnsi="Schibsted Grotesk"/>
          <w:b/>
          <w:sz w:val="21"/>
          <w:color w:val="121B17"/>
        </w:rPr>
        <w:t xml:space="preserve">ab der ersten bezahlten Rechnung</w:t>
      </w:r>
      <w:r>
        <w:rPr>
          <w:rFonts w:ascii="Schibsted Grotesk" w:hAnsi="Schibsted Grotesk"/>
          <w:sz w:val="21"/>
          <w:color w:val="121B17"/>
        </w:rPr>
        <w:t xml:space="preserve">. Das Repository liegt in der Organisation des Kunden; am Ende gibt es nichts zu übergeben.</w:t>
      </w:r>
    </w:p>
    <w:p>
      <w:pPr>
        <w:spacing w:after="80" w:line="300" w:lineRule="auto"/>
        <w:numPr>
          <w:ilvl w:val="0"/>
          <w:numId w:val="1"/>
        </w:numPr>
      </w:pPr>
      <w:r>
        <w:rPr>
          <w:rFonts w:ascii="Schibsted Grotesk" w:hAnsi="Schibsted Grotesk"/>
          <w:sz w:val="21"/>
          <w:color w:val="121B17"/>
        </w:rPr>
        <w:t xml:space="preserve">Open-Source- und Drittkomponenten behalten ihre eigenen Lizenzen. Der Auftragnehmer führt sie in einer Liste, achtet auf ihre Vereinbarkeit mit der Nutzung durch den Kunden und fügt proprietärem Code ohne schriftliche Zustimmung keine Copyleft-Abhängigkeit hinzu.</w:t>
      </w:r>
    </w:p>
    <w:p>
      <w:pPr>
        <w:spacing w:after="80" w:line="300" w:lineRule="auto"/>
        <w:numPr>
          <w:ilvl w:val="0"/>
          <w:numId w:val="1"/>
        </w:numPr>
      </w:pPr>
      <w:r>
        <w:rPr>
          <w:rFonts w:ascii="Schibsted Grotesk" w:hAnsi="Schibsted Grotesk"/>
          <w:sz w:val="21"/>
          <w:color w:val="121B17"/>
        </w:rPr>
        <w:t xml:space="preserve">Material, das der Auftragnehmer mitbringt (interne Bibliotheken, Werkzeuge, Checklisten), bleibt sein Eigentum. Der Kunde erhält daran eine dauerhafte, übertragbare Lizenz zur Nutzung, Änderung und Unterlizenzierung als Teil der gelieferten Arbeit.</w:t>
      </w:r>
    </w:p>
    <w:p>
      <w:pPr>
        <w:spacing w:after="80" w:line="300" w:lineRule="auto"/>
        <w:numPr>
          <w:ilvl w:val="0"/>
          <w:numId w:val="1"/>
        </w:numPr>
      </w:pPr>
      <w:r>
        <w:rPr>
          <w:rFonts w:ascii="Schibsted Grotesk" w:hAnsi="Schibsted Grotesk"/>
          <w:sz w:val="21"/>
          <w:color w:val="121B17"/>
        </w:rPr>
        <w:t xml:space="preserve">Beide Seiten können das Engagement mit einer Frist von </w:t>
      </w:r>
      <w:r>
        <w:rPr>
          <w:rFonts w:ascii="Schibsted Grotesk" w:hAnsi="Schibsted Grotesk"/>
          <w:i/>
          <w:sz w:val="21"/>
          <w:color w:val="121B17"/>
        </w:rPr>
        <w:t xml:space="preserve">empfohlener Standardwert: zwei Wochen</w:t>
      </w:r>
      <w:r>
        <w:rPr>
          <w:rFonts w:ascii="Schibsted Grotesk" w:hAnsi="Schibsted Grotesk"/>
          <w:sz w:val="21"/>
          <w:color w:val="121B17"/>
        </w:rPr>
        <w:t xml:space="preserve"> schriftlich beenden. Der Kunde behält alles Bezahlte, einschließlich angefangener Arbeit.</w:t>
      </w:r>
    </w:p>
    <w:p>
      <w:pPr>
        <w:spacing w:after="120" w:line="260" w:lineRule="auto"/>
        <w:pBdr>
          <w:bottom w:val="single" w:sz="4" w:space="4" w:color="D3D9D6"/>
        </w:pBdr>
      </w:pPr>
      <w:r>
        <w:rPr>
          <w:rFonts w:ascii="Schibsted Grotesk" w:hAnsi="Schibsted Grotesk"/>
          <w:b/>
          <w:sz w:val="26"/>
          <w:color w:val="121B17"/>
        </w:rPr>
        <w:t xml:space="preserve">7. Launches und Rollback</w:t>
      </w:r>
    </w:p>
    <w:p>
      <w:pPr>
        <w:spacing w:after="80" w:line="300" w:lineRule="auto"/>
        <w:numPr>
          <w:ilvl w:val="0"/>
          <w:numId w:val="1"/>
        </w:numPr>
      </w:pPr>
      <w:r>
        <w:rPr>
          <w:rFonts w:ascii="Schibsted Grotesk" w:hAnsi="Schibsted Grotesk"/>
          <w:sz w:val="21"/>
          <w:color w:val="121B17"/>
        </w:rPr>
        <w:t xml:space="preserve">Migrationen und riskante Launches laufen, wo machbar, </w:t>
      </w:r>
      <w:r>
        <w:rPr>
          <w:rFonts w:ascii="Schibsted Grotesk" w:hAnsi="Schibsted Grotesk"/>
          <w:b/>
          <w:sz w:val="21"/>
          <w:color w:val="121B17"/>
        </w:rPr>
        <w:t xml:space="preserve">parallel beziehungsweise mit Shadow-Traffic</w:t>
      </w:r>
      <w:r>
        <w:rPr>
          <w:rFonts w:ascii="Schibsted Grotesk" w:hAnsi="Schibsted Grotesk"/>
          <w:sz w:val="21"/>
          <w:color w:val="121B17"/>
        </w:rPr>
        <w:t xml:space="preserve">; ein Big-Bang-Launch nur, wenn es keine Alternative gibt.</w:t>
      </w:r>
    </w:p>
    <w:p>
      <w:pPr>
        <w:spacing w:after="80" w:line="300" w:lineRule="auto"/>
        <w:numPr>
          <w:ilvl w:val="0"/>
          <w:numId w:val="1"/>
        </w:numPr>
      </w:pPr>
      <w:r>
        <w:rPr>
          <w:rFonts w:ascii="Schibsted Grotesk" w:hAnsi="Schibsted Grotesk"/>
          <w:sz w:val="21"/>
          <w:color w:val="121B17"/>
        </w:rPr>
        <w:t xml:space="preserve">Eine schriftliche </w:t>
      </w:r>
      <w:r>
        <w:rPr>
          <w:rFonts w:ascii="Schibsted Grotesk" w:hAnsi="Schibsted Grotesk"/>
          <w:b/>
          <w:sz w:val="21"/>
          <w:color w:val="121B17"/>
        </w:rPr>
        <w:t xml:space="preserve">Go/No-Go-Checkliste</w:t>
      </w:r>
      <w:r>
        <w:rPr>
          <w:rFonts w:ascii="Schibsted Grotesk" w:hAnsi="Schibsted Grotesk"/>
          <w:sz w:val="21"/>
          <w:color w:val="121B17"/>
        </w:rPr>
        <w:t xml:space="preserve"> wird vor dem Cutover von beiden Seiten abgezeichnet.</w:t>
      </w:r>
    </w:p>
    <w:p>
      <w:pPr>
        <w:spacing w:after="80" w:line="300" w:lineRule="auto"/>
        <w:numPr>
          <w:ilvl w:val="0"/>
          <w:numId w:val="1"/>
        </w:numPr>
      </w:pPr>
      <w:r>
        <w:rPr>
          <w:rFonts w:ascii="Schibsted Grotesk" w:hAnsi="Schibsted Grotesk"/>
          <w:sz w:val="21"/>
          <w:color w:val="121B17"/>
        </w:rPr>
        <w:t xml:space="preserve">Ein getesteter Rollback-Pfad bleibt </w:t>
      </w:r>
      <w:r>
        <w:rPr>
          <w:rFonts w:ascii="Schibsted Grotesk" w:hAnsi="Schibsted Grotesk"/>
          <w:b/>
          <w:sz w:val="21"/>
          <w:color w:val="121B17"/>
        </w:rPr>
        <w:t xml:space="preserve">30 Tage</w:t>
      </w:r>
      <w:r>
        <w:rPr>
          <w:rFonts w:ascii="Schibsted Grotesk" w:hAnsi="Schibsted Grotesk"/>
          <w:sz w:val="21"/>
          <w:color w:val="121B17"/>
        </w:rPr>
        <w:t xml:space="preserve"> nach dem Launch nutzbar.</w:t>
      </w:r>
    </w:p>
    <w:p>
      <w:pPr>
        <w:spacing w:after="120" w:line="260" w:lineRule="auto"/>
        <w:pBdr>
          <w:bottom w:val="single" w:sz="4" w:space="4" w:color="D3D9D6"/>
        </w:pBdr>
      </w:pPr>
      <w:r>
        <w:rPr>
          <w:rFonts w:ascii="Schibsted Grotesk" w:hAnsi="Schibsted Grotesk"/>
          <w:b/>
          <w:sz w:val="26"/>
          <w:color w:val="121B17"/>
        </w:rPr>
        <w:t xml:space="preserve">8. Umgang mit Vorfällen</w:t>
      </w:r>
    </w:p>
    <w:p>
      <w:pPr>
        <w:spacing w:after="80" w:line="300" w:lineRule="auto"/>
        <w:numPr>
          <w:ilvl w:val="0"/>
          <w:numId w:val="1"/>
        </w:numPr>
      </w:pPr>
      <w:r>
        <w:rPr>
          <w:rFonts w:ascii="Schibsted Grotesk" w:hAnsi="Schibsted Grotesk"/>
          <w:sz w:val="21"/>
          <w:color w:val="121B17"/>
        </w:rPr>
        <w:t xml:space="preserve">Produktionsvorfälle: Die Partei, die einen Vorfall zuerst erkennt, eröffnet ihn; der Auftragnehmer reagiert innerhalb von </w:t>
      </w:r>
      <w:r>
        <w:rPr>
          <w:rFonts w:ascii="Schibsted Grotesk" w:hAnsi="Schibsted Grotesk"/>
          <w:i/>
          <w:sz w:val="21"/>
          <w:color w:val="121B17"/>
        </w:rPr>
        <w:t xml:space="preserve">empfohlener Standardwert: 4 Arbeitsstunden, an Werktagen zwischen 09:00 und 18:00 Uhr MEZ</w:t>
      </w:r>
      <w:r>
        <w:rPr>
          <w:rFonts w:ascii="Schibsted Grotesk" w:hAnsi="Schibsted Grotesk"/>
          <w:sz w:val="21"/>
          <w:color w:val="121B17"/>
        </w:rPr>
        <w:t xml:space="preserve">. Eine kürzere Reaktionszeit ist eine bezahlte Rufbereitschaft und wird separat vereinbart.</w:t>
      </w:r>
    </w:p>
    <w:p>
      <w:pPr>
        <w:spacing w:after="80" w:line="300" w:lineRule="auto"/>
        <w:numPr>
          <w:ilvl w:val="0"/>
          <w:numId w:val="1"/>
        </w:numPr>
      </w:pPr>
      <w:r>
        <w:rPr>
          <w:rFonts w:ascii="Schibsted Grotesk" w:hAnsi="Schibsted Grotesk"/>
          <w:sz w:val="21"/>
          <w:color w:val="121B17"/>
        </w:rPr>
        <w:t xml:space="preserve">Jeder Incident endet mit einem </w:t>
      </w:r>
      <w:r>
        <w:rPr>
          <w:rFonts w:ascii="Schibsted Grotesk" w:hAnsi="Schibsted Grotesk"/>
          <w:b/>
          <w:sz w:val="21"/>
          <w:color w:val="121B17"/>
        </w:rPr>
        <w:t xml:space="preserve">schriftlichen Post-mortem</w:t>
      </w:r>
      <w:r>
        <w:rPr>
          <w:rFonts w:ascii="Schibsted Grotesk" w:hAnsi="Schibsted Grotesk"/>
          <w:sz w:val="21"/>
          <w:color w:val="121B17"/>
        </w:rPr>
        <w:t xml:space="preserve"> ohne Schuldzuweisung: was passiert ist, was getan wurde und welche Änderungen eine Wiederholung verhindern.</w:t>
      </w:r>
    </w:p>
    <w:p>
      <w:pPr>
        <w:spacing w:after="80" w:line="300" w:lineRule="auto"/>
        <w:numPr>
          <w:ilvl w:val="0"/>
          <w:numId w:val="1"/>
        </w:numPr>
      </w:pPr>
      <w:r>
        <w:rPr>
          <w:rFonts w:ascii="Schibsted Grotesk" w:hAnsi="Schibsted Grotesk"/>
          <w:sz w:val="21"/>
          <w:color w:val="121B17"/>
        </w:rPr>
        <w:t xml:space="preserve">Eine Überschreitung der Schätzung wird im wöchentlichen Check-in gemeldet, sobald sie absehbar ist, zusammen mit einem überarbeiteten Plan.</w:t>
      </w:r>
    </w:p>
    <w:p>
      <w:pPr>
        <w:spacing w:after="120" w:line="260" w:lineRule="auto"/>
        <w:pBdr>
          <w:bottom w:val="single" w:sz="4" w:space="4" w:color="D3D9D6"/>
        </w:pBdr>
      </w:pPr>
      <w:r>
        <w:rPr>
          <w:rFonts w:ascii="Schibsted Grotesk" w:hAnsi="Schibsted Grotesk"/>
          <w:b/>
          <w:sz w:val="26"/>
          <w:color w:val="121B17"/>
        </w:rPr>
        <w:t xml:space="preserve">9. Zugänge und Zugangsdaten</w:t>
      </w:r>
    </w:p>
    <w:p>
      <w:pPr>
        <w:spacing w:after="80" w:line="300" w:lineRule="auto"/>
        <w:numPr>
          <w:ilvl w:val="0"/>
          <w:numId w:val="1"/>
        </w:numPr>
      </w:pPr>
      <w:r>
        <w:rPr>
          <w:rFonts w:ascii="Schibsted Grotesk" w:hAnsi="Schibsted Grotesk"/>
          <w:sz w:val="21"/>
          <w:color w:val="121B17"/>
        </w:rPr>
        <w:t xml:space="preserve">Der Auftragnehmer erhält den geringsten Zugang, den die Arbeit erfordert: schriftlich angefragt, vom Kunden vergeben und pro Person ausgestellt. Keine geteilten Logins.</w:t>
      </w:r>
    </w:p>
    <w:p>
      <w:pPr>
        <w:spacing w:after="80" w:line="300" w:lineRule="auto"/>
        <w:numPr>
          <w:ilvl w:val="0"/>
          <w:numId w:val="1"/>
        </w:numPr>
      </w:pPr>
      <w:r>
        <w:rPr>
          <w:rFonts w:ascii="Schibsted Grotesk" w:hAnsi="Schibsted Grotesk"/>
          <w:sz w:val="21"/>
          <w:color w:val="121B17"/>
        </w:rPr>
        <w:t xml:space="preserve">Zugangsdaten laufen über den Secret Manager des Kunden oder einen anderen verschlüsselten Kanal, nie über E-Mail oder Chat.</w:t>
      </w:r>
    </w:p>
    <w:p>
      <w:pPr>
        <w:spacing w:after="80" w:line="300" w:lineRule="auto"/>
        <w:numPr>
          <w:ilvl w:val="0"/>
          <w:numId w:val="1"/>
        </w:numPr>
      </w:pPr>
      <w:r>
        <w:rPr>
          <w:rFonts w:ascii="Schibsted Grotesk" w:hAnsi="Schibsted Grotesk"/>
          <w:sz w:val="21"/>
          <w:color w:val="121B17"/>
        </w:rPr>
        <w:t xml:space="preserve">Produktionsdaten werden nicht auf Entwicklerrechner kopiert. Wo produktionsnahe Daten nötig sind, werden sie vorher anonymisiert.</w:t>
      </w:r>
    </w:p>
    <w:p>
      <w:pPr>
        <w:spacing w:after="80" w:line="300" w:lineRule="auto"/>
        <w:numPr>
          <w:ilvl w:val="0"/>
          <w:numId w:val="1"/>
        </w:numPr>
      </w:pPr>
      <w:r>
        <w:rPr>
          <w:rFonts w:ascii="Schibsted Grotesk" w:hAnsi="Schibsted Grotesk"/>
          <w:sz w:val="21"/>
          <w:color w:val="121B17"/>
        </w:rPr>
        <w:t xml:space="preserve">Alle Zugänge des Auftragnehmers werden innerhalb von </w:t>
      </w:r>
      <w:r>
        <w:rPr>
          <w:rFonts w:ascii="Schibsted Grotesk" w:hAnsi="Schibsted Grotesk"/>
          <w:i/>
          <w:sz w:val="21"/>
          <w:color w:val="121B17"/>
        </w:rPr>
        <w:t xml:space="preserve">empfohlener Standardwert: 5 Arbeitstagen</w:t>
      </w:r>
      <w:r>
        <w:rPr>
          <w:rFonts w:ascii="Schibsted Grotesk" w:hAnsi="Schibsted Grotesk"/>
          <w:sz w:val="21"/>
          <w:color w:val="121B17"/>
        </w:rPr>
        <w:t xml:space="preserve"> nach Ende des Engagements entzogen, und der Kunde bestätigt den Entzug schriftlich.</w:t>
      </w:r>
    </w:p>
    <w:p>
      <w:pPr>
        <w:spacing w:after="120" w:line="260" w:lineRule="auto"/>
        <w:pBdr>
          <w:bottom w:val="single" w:sz="4" w:space="4" w:color="D3D9D6"/>
        </w:pBdr>
      </w:pPr>
      <w:r>
        <w:rPr>
          <w:rFonts w:ascii="Schibsted Grotesk" w:hAnsi="Schibsted Grotesk"/>
          <w:b/>
          <w:sz w:val="26"/>
          <w:color w:val="121B17"/>
        </w:rPr>
        <w:t xml:space="preserve">10. Vertraulichkeit und Datenschutz</w:t>
      </w:r>
    </w:p>
    <w:p>
      <w:pPr>
        <w:spacing w:after="80" w:line="300" w:lineRule="auto"/>
        <w:numPr>
          <w:ilvl w:val="0"/>
          <w:numId w:val="1"/>
        </w:numPr>
      </w:pPr>
      <w:r>
        <w:rPr>
          <w:rFonts w:ascii="Schibsted Grotesk" w:hAnsi="Schibsted Grotesk"/>
          <w:sz w:val="21"/>
          <w:color w:val="121B17"/>
        </w:rPr>
        <w:t xml:space="preserve">Ein gegenseitiges NDA deckt Geschäftsdaten in beide Richtungen ab.</w:t>
      </w:r>
    </w:p>
    <w:p>
      <w:pPr>
        <w:spacing w:after="80" w:line="300" w:lineRule="auto"/>
        <w:numPr>
          <w:ilvl w:val="0"/>
          <w:numId w:val="1"/>
        </w:numPr>
      </w:pPr>
      <w:r>
        <w:rPr>
          <w:rFonts w:ascii="Schibsted Grotesk" w:hAnsi="Schibsted Grotesk"/>
          <w:sz w:val="21"/>
          <w:color w:val="121B17"/>
        </w:rPr>
        <w:t xml:space="preserve">Verarbeitet der Auftragnehmer personenbezogene Daten im Auftrag des Kunden, gilt ein schriftlicher Auftragsverarbeitungsvertrag nach Artikel 28 DSGVO: Zweck, Datenkategorien, Sicherheitsmaßnahmen und Löschung am Ende.</w:t>
      </w:r>
    </w:p>
    <w:p>
      <w:pPr>
        <w:spacing w:after="80" w:line="300" w:lineRule="auto"/>
        <w:numPr>
          <w:ilvl w:val="0"/>
          <w:numId w:val="1"/>
        </w:numPr>
      </w:pPr>
      <w:r>
        <w:rPr>
          <w:rFonts w:ascii="Schibsted Grotesk" w:hAnsi="Schibsted Grotesk"/>
          <w:sz w:val="21"/>
          <w:color w:val="121B17"/>
        </w:rPr>
        <w:t xml:space="preserve">Unterauftragsverarbeiter werden vorab aufgeführt und nur mit Ankündigung gewechselt, der der Kunde widersprechen kann. Die Liste umfasst alles, was Zugriff auf Kundendaten hat, einschließlich Hosting, Error Tracking und KI-gestützten Coding-Werkzeugen.</w:t>
      </w:r>
    </w:p>
    <w:p>
      <w:pPr>
        <w:spacing w:after="80" w:line="300" w:lineRule="auto"/>
        <w:numPr>
          <w:ilvl w:val="0"/>
          <w:numId w:val="1"/>
        </w:numPr>
      </w:pPr>
      <w:r>
        <w:rPr>
          <w:rFonts w:ascii="Schibsted Grotesk" w:hAnsi="Schibsted Grotesk"/>
          <w:sz w:val="21"/>
          <w:color w:val="121B17"/>
        </w:rPr>
        <w:t xml:space="preserve">Verarbeitungs- und Speicherorte werden benannt. Empfohlener Standardwert: nur EU/EWR, sonst ein dokumentierter Übermittlungsmechanismus.</w:t>
      </w:r>
    </w:p>
    <w:p>
      <w:pPr>
        <w:spacing w:after="80" w:line="300" w:lineRule="auto"/>
        <w:numPr>
          <w:ilvl w:val="0"/>
          <w:numId w:val="1"/>
        </w:numPr>
      </w:pPr>
      <w:r>
        <w:rPr>
          <w:rFonts w:ascii="Schibsted Grotesk" w:hAnsi="Schibsted Grotesk"/>
          <w:sz w:val="21"/>
          <w:color w:val="121B17"/>
        </w:rPr>
        <w:t xml:space="preserve">Der Auftragnehmer darf das Engagement öffentlich nur anonymisiert beschreiben, sofern der Kunde einer Namensnennung nicht schriftlich zustimmt.</w:t>
      </w:r>
    </w:p>
    <w:p>
      <w:pPr>
        <w:spacing w:after="200" w:line="300" w:lineRule="auto"/>
        <w:pBdr>
          <w:bottom w:val="single" w:sz="4" w:space="4" w:color="D3D9D6"/>
        </w:pBdr>
      </w:pPr>
    </w:p>
    <w:p>
      <w:pPr>
        <w:spacing w:after="160" w:line="300" w:lineRule="auto"/>
      </w:pPr>
      <w:r>
        <w:rPr>
          <w:rFonts w:ascii="Schibsted Grotesk" w:hAnsi="Schibsted Grotesk"/>
          <w:i/>
          <w:sz w:val="21"/>
          <w:color w:val="121B17"/>
        </w:rPr>
        <w:t xml:space="preserve">Version: ausfüllen. Unterschrieben: beide technischen Ansprechpersonen, also die Menschen, die die Arbeit machen und abnehmen, nicht nur die, die sie abrechnen.</w:t>
      </w:r>
    </w:p>
    <w:p>
      <w:pPr>
        <w:spacing w:after="160" w:line="300" w:lineRule="auto"/>
      </w:pPr>
      <w:r>
        <w:rPr>
          <w:rFonts w:ascii="Schibsted Grotesk" w:hAnsi="Schibsted Grotesk"/>
          <w:i/>
          <w:sz w:val="21"/>
          <w:color w:val="121B17"/>
        </w:rPr>
        <w:t xml:space="preserve">Engagement-Vereinbarung, Vorlagenversion 1.0, von Zapolu s.r.o., zapolu.com, lizenziert unter CC BY 4.0 (creativecommons.org/licenses/by/4.0/).</w:t>
      </w:r>
    </w:p>
    <w:sectPr>
      <w:footerReference w:type="default" r:id="rIdFooter"/>
      <w:pgSz w:w="11906" w:h="16838"/>
      <w:pgMar w:top="1134" w:right="1134" w:bottom="1020" w:left="1134" w:header="680" w:footer="567"/>
    </w:sectPr>
  </w:body>
</w:document>
</file>

<file path=word/footer1.xml><?xml version="1.0" encoding="utf-8"?>
<w:ftr xmlns:w="http://schemas.openxmlformats.org/wordprocessingml/2006/main" xmlns:r="http://schemas.openxmlformats.org/officeDocument/2006/relationships">
  <w:p>
    <w:pPr>
      <w:pBdr>
        <w:top w:val="single" w:sz="4" w:space="8" w:color="D3D9D6"/>
      </w:pBdr>
    </w:pPr>
    <w:r>
      <w:rPr>
        <w:rFonts w:ascii="Schibsted Grotesk" w:hAnsi="Schibsted Grotesk"/>
        <w:sz w:val="14"/>
        <w:color w:val="4B5952"/>
      </w:rPr>
      <w:t xml:space="preserve">Zapolu s.r.o., zapolu.com</w:t>
    </w:r>
  </w:p>
</w:ftr>
</file>

<file path=word/numbering.xml><?xml version="1.0" encoding="utf-8"?>
<w:numbering xmlns:w="http://schemas.openxmlformats.org/wordprocessingml/2006/main" xmlns:r="http://schemas.openxmlformats.org/officeDocument/2006/relationships">
  <w:abstractNum w:abstractNumId="0">
    <w:lvl w:ilvl="0">
      <w:start w:val="1"/>
      <w:numFmt w:val="bullet"/>
      <w:lvlText w:val="•"/>
      <w:lvlJc w:val="left"/>
      <w:pPr>
        <w:ind w:left="340" w:hanging="227"/>
      </w:pPr>
      <w:rPr>
        <w:rFonts w:ascii="Schibsted Grotesk" w:hAnsi="Schibsted Grotesk"/>
      </w:rPr>
    </w:lvl>
  </w:abstractNum>
  <w:num w:numId="1">
    <w:abstractNumId w:val="0"/>
  </w:num>
</w:numbering>
</file>

<file path=word/_rels/document.xml.rels><?xml version="1.0" encoding="UTF-8" standalone="yes"?>
<Relationships xmlns="http://schemas.openxmlformats.org/package/2006/relationships">
<Relationship Id="rIdNumbering" Type="http://schemas.openxmlformats.org/officeDocument/2006/relationships/numbering" Target="numbering.xml"/>
<Relationship Id="rIdFooter" Type="http://schemas.openxmlformats.org/officeDocument/2006/relationships/footer" Target="footer1.xml"/>
<Relationship Id="rIdLink0" Type="http://schemas.openxmlformats.org/officeDocument/2006/relationships/hyperlink" Target="https://zapolu.com/de/downloads/zapolu-engagement-template.pdf" TargetMode="External"/>
</Relationships>
</file>