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200" w:line="260" w:lineRule="auto"/>
      </w:pPr>
      <w:r>
        <w:rPr>
          <w:rFonts w:ascii="Schibsted Grotesk" w:hAnsi="Schibsted Grotesk"/>
          <w:b/>
          <w:sz w:val="40"/>
          <w:color w:val="121B17"/>
        </w:rPr>
        <w:t xml:space="preserve">Dohoda o spolupráci: pracovní dokument</w:t>
      </w:r>
    </w:p>
    <w:p>
      <w:pPr>
        <w:spacing w:after="240" w:line="300" w:lineRule="auto"/>
        <w:ind w:left="340"/>
        <w:pBdr>
          <w:left w:val="single" w:sz="18" w:space="8" w:color="156446"/>
        </w:pBdr>
      </w:pPr>
      <w:r>
        <w:rPr>
          <w:rFonts w:ascii="Schibsted Grotesk" w:hAnsi="Schibsted Grotesk"/>
          <w:sz w:val="19"/>
          <w:color w:val="4B5952"/>
        </w:rPr>
        <w:t xml:space="preserve">Šablonu publikuje Zapolu s.r.o. (zapolu.com) pod licencí CC BY 4.0: lze ji použít se společností Zapolu i s kterýmkoli jiným dodavatelem, komerčně i nekomerčně, pokud zůstane zachováno uvedení autorství na konci. Jde o pracovní dohodu, nikoli právní poradenství; smluvní části nechte posoudit svým právním zástupcem. Verze šablony 1.0, 1. srpna 2026. Aktuální verze je na </w:t>
      </w:r>
      <w:hyperlink r:id="rIdLink0">
        <w:r>
          <w:rPr>
            <w:rFonts w:ascii="Schibsted Grotesk" w:hAnsi="Schibsted Grotesk"/>
            <w:u w:val="single"/>
            <w:sz w:val="19"/>
            <w:color w:val="156446"/>
          </w:rPr>
          <w:t xml:space="preserve">zapolu.com/downloads</w:t>
        </w:r>
      </w:hyperlink>
      <w:r>
        <w:rPr>
          <w:rFonts w:ascii="Schibsted Grotesk" w:hAnsi="Schibsted Grotesk"/>
          <w:sz w:val="19"/>
          <w:color w:val="4B5952"/>
        </w:rPr>
        <w:t xml:space="preserve">.</w:t>
      </w:r>
    </w:p>
    <w:p>
      <w:pPr>
        <w:spacing w:after="160" w:line="300" w:lineRule="auto"/>
      </w:pPr>
      <w:r>
        <w:rPr>
          <w:rFonts w:ascii="Schibsted Grotesk" w:hAnsi="Schibsted Grotesk"/>
          <w:sz w:val="21"/>
          <w:color w:val="121B17"/>
        </w:rPr>
        <w:t xml:space="preserve">Kde tato šablona nechává prázdné místo, uvádí doporučenou výchozí hodnotu nebo příklad. Tam, kde se doporučená hodnota nehodí, ji vědomě změňte; nenechávejte prázdné místo nevyplněné.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1. Rozsah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Co děláme: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jeden odstavec, srozumitelným jazykem. Rozsah, který nelze popsat v jednom odstavci, je vhodné rozdělit na dvě spolupráce.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Co výslovně neděláme: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sepište, co by si čtenář jinak mohl myslet, že je v ceně.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Kritéria úspěchu: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měřitelná, dohodnutá před začátkem práce. Příklad: „LCP checkoutu ≤ 1,5 s na p75 z reálných dat“, ne „web působí rychleji“.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2. Lidé a subdodávky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Technická kontaktní osoba klienta: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jméno</w:t>
      </w:r>
      <w:r>
        <w:rPr>
          <w:rFonts w:ascii="Schibsted Grotesk" w:hAnsi="Schibsted Grotesk"/>
          <w:sz w:val="21"/>
          <w:color w:val="121B17"/>
        </w:rPr>
        <w:t xml:space="preserve">. Má pravomoc rozhodovat samostatně a vyhrazenou kapacitu 1–2 h týdně na tuto spolupráci.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Inženýři dodavatele na této spolupráci:</w:t>
      </w:r>
      <w:r>
        <w:rPr>
          <w:rFonts w:ascii="Schibsted Grotesk" w:hAnsi="Schibsted Grotesk"/>
          <w:sz w:val="21"/>
          <w:color w:val="121B17"/>
        </w:rPr>
        <w:t xml:space="preserve"> </w:t>
      </w:r>
      <w:r>
        <w:rPr>
          <w:rFonts w:ascii="Schibsted Grotesk" w:hAnsi="Schibsted Grotesk"/>
          <w:i/>
          <w:sz w:val="21"/>
          <w:color w:val="121B17"/>
        </w:rPr>
        <w:t xml:space="preserve">jména</w:t>
      </w:r>
      <w:r>
        <w:rPr>
          <w:rFonts w:ascii="Schibsted Grotesk" w:hAnsi="Schibsted Grotesk"/>
          <w:sz w:val="21"/>
          <w:color w:val="121B17"/>
        </w:rPr>
        <w:t xml:space="preserve">. Uvedení inženýři píší kód a účastní se hovorů. Záměnu je třeba předem písemně schválit s klientem.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Subdodavatelé se uvádějí předem, jinak se nevyužívají. Doporučená výchozí hodnota: žádní bez písemného souhlasu. Subdodavatele váže každé ustanovení této dohody a za jeho práci odpovídá dodavatel.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3. Rytmus práce a transparentnost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Pracuje se v </w:t>
      </w:r>
      <w:r>
        <w:rPr>
          <w:rFonts w:ascii="Schibsted Grotesk" w:hAnsi="Schibsted Grotesk"/>
          <w:b/>
          <w:sz w:val="21"/>
          <w:color w:val="121B17"/>
        </w:rPr>
        <w:t xml:space="preserve">repozitáři a organizaci klienta</w:t>
      </w:r>
      <w:r>
        <w:rPr>
          <w:rFonts w:ascii="Schibsted Grotesk" w:hAnsi="Schibsted Grotesk"/>
          <w:sz w:val="21"/>
          <w:color w:val="121B17"/>
        </w:rPr>
        <w:t xml:space="preserve">, v malých přehledných pull requestech, od prvního dne.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b/>
          <w:sz w:val="21"/>
          <w:color w:val="121B17"/>
        </w:rPr>
        <w:t xml:space="preserve">Týdenní písemný check-in</w:t>
      </w:r>
      <w:r>
        <w:rPr>
          <w:rFonts w:ascii="Schibsted Grotesk" w:hAnsi="Schibsted Grotesk"/>
          <w:sz w:val="21"/>
          <w:color w:val="121B17"/>
        </w:rPr>
        <w:t xml:space="preserve"> (hotovo / dál / blokované / potřebná rozhodnutí), doručený každý týden, včetně týdnů s nepříznivými zjištěními.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Schůzky ke stavu se konají jen s agendou; jinak je nahrazuje písemný check-in.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4. Obchodní podmínky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Model: </w:t>
      </w:r>
      <w:r>
        <w:rPr>
          <w:rFonts w:ascii="Schibsted Grotesk" w:hAnsi="Schibsted Grotesk"/>
          <w:i/>
          <w:sz w:val="21"/>
          <w:color w:val="121B17"/>
        </w:rPr>
        <w:t xml:space="preserve">pevná cena / týdenní fakturace se stropem / měsíční paušál s dohodnutým počtem hodin</w:t>
      </w:r>
      <w:r>
        <w:rPr>
          <w:rFonts w:ascii="Schibsted Grotesk" w:hAnsi="Schibsted Grotesk"/>
          <w:sz w:val="21"/>
          <w:color w:val="121B17"/>
        </w:rPr>
        <w:t xml:space="preserve"> (vyberte jeden; kombinace modelů podle fází je přípustná).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Změnové požadavky se sepisují, odhadují a schvalují před zahájením prací; faktury neobsahují žádné položky neschválené předem.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Platební podmínky: </w:t>
      </w:r>
      <w:r>
        <w:rPr>
          <w:rFonts w:ascii="Schibsted Grotesk" w:hAnsi="Schibsted Grotesk"/>
          <w:i/>
          <w:sz w:val="21"/>
          <w:color w:val="121B17"/>
        </w:rPr>
        <w:t xml:space="preserve">splatnost 14 dní</w:t>
      </w:r>
      <w:r>
        <w:rPr>
          <w:rFonts w:ascii="Schibsted Grotesk" w:hAnsi="Schibsted Grotesk"/>
          <w:sz w:val="21"/>
          <w:color w:val="121B17"/>
        </w:rPr>
        <w:t xml:space="preserve"> (doporučená výchozí hodnota). Po písemném upozornění se práce pozastavuje, je-li nesporná faktura 14 dní po splatnosti.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Náklady (cestovné, licence, služby třetích stran) se fakturují v pořizovací ceně. Doporučená výchozí hodnota: žádné bez předchozího písemného souhlasu.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5. Převzetí a vady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Práce se přebírá podle kritérií úspěchu z kapitoly 1, ne podle dojmu.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Klient má od předání </w:t>
      </w:r>
      <w:r>
        <w:rPr>
          <w:rFonts w:ascii="Schibsted Grotesk" w:hAnsi="Schibsted Grotesk"/>
          <w:i/>
          <w:sz w:val="21"/>
          <w:color w:val="121B17"/>
        </w:rPr>
        <w:t xml:space="preserve">10 pracovních dní</w:t>
      </w:r>
      <w:r>
        <w:rPr>
          <w:rFonts w:ascii="Schibsted Grotesk" w:hAnsi="Schibsted Grotesk"/>
          <w:sz w:val="21"/>
          <w:color w:val="121B17"/>
        </w:rPr>
        <w:t xml:space="preserve"> (doporučená výchozí hodnota) na to, aby práci převzal nebo písemně uvedl, které kritérium není splněno. Po uplynutí této lhůty se práce považuje za převzatou.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Vady existující už při předání se odstraňují bezplatně po dobu </w:t>
      </w:r>
      <w:r>
        <w:rPr>
          <w:rFonts w:ascii="Schibsted Grotesk" w:hAnsi="Schibsted Grotesk"/>
          <w:i/>
          <w:sz w:val="21"/>
          <w:color w:val="121B17"/>
        </w:rPr>
        <w:t xml:space="preserve">90 dní</w:t>
      </w:r>
      <w:r>
        <w:rPr>
          <w:rFonts w:ascii="Schibsted Grotesk" w:hAnsi="Schibsted Grotesk"/>
          <w:sz w:val="21"/>
          <w:color w:val="121B17"/>
        </w:rPr>
        <w:t xml:space="preserve"> (doporučená výchozí hodnota). Změna rozsahu je změnový požadavek podle kapitoly 4, ne vada.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6. Vlastnictví, existující práva a konec spolupráce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Veškerý kód, konfigurace a dokumentace vytvořené pro tuto spolupráci patří klientovi </w:t>
      </w:r>
      <w:r>
        <w:rPr>
          <w:rFonts w:ascii="Schibsted Grotesk" w:hAnsi="Schibsted Grotesk"/>
          <w:b/>
          <w:sz w:val="21"/>
          <w:color w:val="121B17"/>
        </w:rPr>
        <w:t xml:space="preserve">od první zaplacené faktury</w:t>
      </w:r>
      <w:r>
        <w:rPr>
          <w:rFonts w:ascii="Schibsted Grotesk" w:hAnsi="Schibsted Grotesk"/>
          <w:sz w:val="21"/>
          <w:color w:val="121B17"/>
        </w:rPr>
        <w:t xml:space="preserve">. Repozitář je součástí organizace klienta; na konci není co předávat.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Open source a komponenty třetích stran si ponechávají vlastní licence. Dodavatel je eviduje, udržuje jejich kompatibilitu s tím, jak klient dílo používá, a nepřidává do proprietárního kódu copyleftovou závislost bez písemného souhlasu.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Materiál, který si dodavatel přináší s sebou (interní knihovny, nástroje, checklisty), zůstává jeho. Klient k němu dostává trvalou a převoditelnou licenci k užití, úpravám a poskytování dalších licencí jako součásti odevzdaného díla.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Každá strana může spolupráci ukončit s </w:t>
      </w:r>
      <w:r>
        <w:rPr>
          <w:rFonts w:ascii="Schibsted Grotesk" w:hAnsi="Schibsted Grotesk"/>
          <w:i/>
          <w:sz w:val="21"/>
          <w:color w:val="121B17"/>
        </w:rPr>
        <w:t xml:space="preserve">dvoutýdenní</w:t>
      </w:r>
      <w:r>
        <w:rPr>
          <w:rFonts w:ascii="Schibsted Grotesk" w:hAnsi="Schibsted Grotesk"/>
          <w:sz w:val="21"/>
          <w:color w:val="121B17"/>
        </w:rPr>
        <w:t xml:space="preserve"> (doporučená výchozí hodnota) písemnou výpovědí. Klient si ponechává vše zaplacené, včetně rozdělané práce.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7. Spouštění a rollback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Migrace a riskantní spuštění probíhají </w:t>
      </w:r>
      <w:r>
        <w:rPr>
          <w:rFonts w:ascii="Schibsted Grotesk" w:hAnsi="Schibsted Grotesk"/>
          <w:b/>
          <w:sz w:val="21"/>
          <w:color w:val="121B17"/>
        </w:rPr>
        <w:t xml:space="preserve">paralelně, respektive na stínovém provozu</w:t>
      </w:r>
      <w:r>
        <w:rPr>
          <w:rFonts w:ascii="Schibsted Grotesk" w:hAnsi="Schibsted Grotesk"/>
          <w:sz w:val="21"/>
          <w:color w:val="121B17"/>
        </w:rPr>
        <w:t xml:space="preserve">, kde je to proveditelné; jednorázové nasazení jen tehdy, když není jiná možnost.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Písemný </w:t>
      </w:r>
      <w:r>
        <w:rPr>
          <w:rFonts w:ascii="Schibsted Grotesk" w:hAnsi="Schibsted Grotesk"/>
          <w:b/>
          <w:sz w:val="21"/>
          <w:color w:val="121B17"/>
        </w:rPr>
        <w:t xml:space="preserve">go / no-go checklist</w:t>
      </w:r>
      <w:r>
        <w:rPr>
          <w:rFonts w:ascii="Schibsted Grotesk" w:hAnsi="Schibsted Grotesk"/>
          <w:sz w:val="21"/>
          <w:color w:val="121B17"/>
        </w:rPr>
        <w:t xml:space="preserve"> podepisují obě strany před cutoverem.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Otestovaná cesta zpět zůstává použitelná </w:t>
      </w:r>
      <w:r>
        <w:rPr>
          <w:rFonts w:ascii="Schibsted Grotesk" w:hAnsi="Schibsted Grotesk"/>
          <w:b/>
          <w:sz w:val="21"/>
          <w:color w:val="121B17"/>
        </w:rPr>
        <w:t xml:space="preserve">30 dní</w:t>
      </w:r>
      <w:r>
        <w:rPr>
          <w:rFonts w:ascii="Schibsted Grotesk" w:hAnsi="Schibsted Grotesk"/>
          <w:sz w:val="21"/>
          <w:color w:val="121B17"/>
        </w:rPr>
        <w:t xml:space="preserve"> po spuštění.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8. Řešení incidentů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Produkční incidenty: incident otevírá strana, která jej zjistí jako první; dodavatel reaguje do </w:t>
      </w:r>
      <w:r>
        <w:rPr>
          <w:rFonts w:ascii="Schibsted Grotesk" w:hAnsi="Schibsted Grotesk"/>
          <w:i/>
          <w:sz w:val="21"/>
          <w:color w:val="121B17"/>
        </w:rPr>
        <w:t xml:space="preserve">4 pracovních hodin, v pracovní dny mezi 09:00 a 18:00 SEČ</w:t>
      </w:r>
      <w:r>
        <w:rPr>
          <w:rFonts w:ascii="Schibsted Grotesk" w:hAnsi="Schibsted Grotesk"/>
          <w:sz w:val="21"/>
          <w:color w:val="121B17"/>
        </w:rPr>
        <w:t xml:space="preserve"> (doporučená výchozí hodnota). Kratší lhůta je placená pohotovost, sjednaná zvlášť.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Každý incident končí písemným </w:t>
      </w:r>
      <w:r>
        <w:rPr>
          <w:rFonts w:ascii="Schibsted Grotesk" w:hAnsi="Schibsted Grotesk"/>
          <w:b/>
          <w:sz w:val="21"/>
          <w:color w:val="121B17"/>
        </w:rPr>
        <w:t xml:space="preserve">post-mortem bez hledání viníka</w:t>
      </w:r>
      <w:r>
        <w:rPr>
          <w:rFonts w:ascii="Schibsted Grotesk" w:hAnsi="Schibsted Grotesk"/>
          <w:sz w:val="21"/>
          <w:color w:val="121B17"/>
        </w:rPr>
        <w:t xml:space="preserve">: co se stalo, co se udělalo a jaké změny zabrání opakování.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Skluz proti odhadu se hlásí v týdenním check-inu ihned, jakmile je známý, spolu s upraveným plánem.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9. Přístupy a přihlašovací údaje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Dodavatel dostává minimální přístup nezbytný pro danou práci, na písemné vyžádání, přidělený klientem a vydaný na konkrétní osobu. Žádné sdílené účty.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Přihlašovací údaje se předávají přes klientův systém pro správu tajných klíčů nebo jiným šifrovaným kanálem, nikdy e-mailem ani chatem.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Produkční data se nekopírují na vývojářské stroje. Kde jsou potřeba data podobná produkčním, nejprve se anonymizují.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Všechny přístupy dodavatele se odebírají do </w:t>
      </w:r>
      <w:r>
        <w:rPr>
          <w:rFonts w:ascii="Schibsted Grotesk" w:hAnsi="Schibsted Grotesk"/>
          <w:i/>
          <w:sz w:val="21"/>
          <w:color w:val="121B17"/>
        </w:rPr>
        <w:t xml:space="preserve">5 pracovních dní</w:t>
      </w:r>
      <w:r>
        <w:rPr>
          <w:rFonts w:ascii="Schibsted Grotesk" w:hAnsi="Schibsted Grotesk"/>
          <w:sz w:val="21"/>
          <w:color w:val="121B17"/>
        </w:rPr>
        <w:t xml:space="preserve"> (doporučená výchozí hodnota) od konce spolupráce a klient odebrání písemně potvrdí.</w:t>
      </w:r>
    </w:p>
    <w:p>
      <w:pPr>
        <w:spacing w:after="120" w:line="260" w:lineRule="auto"/>
        <w:pBdr>
          <w:bottom w:val="single" w:sz="4" w:space="4" w:color="D3D9D6"/>
        </w:pBdr>
      </w:pPr>
      <w:r>
        <w:rPr>
          <w:rFonts w:ascii="Schibsted Grotesk" w:hAnsi="Schibsted Grotesk"/>
          <w:b/>
          <w:sz w:val="26"/>
          <w:color w:val="121B17"/>
        </w:rPr>
        <w:t xml:space="preserve">10. Mlčenlivost a ochrana osobních údajů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Oboustranná NDA se vztahuje na obchodní data obou stran.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Pokud dodavatel zpracovává osobní údaje pro klienta, platí písemná smlouva o zpracování podle článku 28 GDPR: účel, kategorie údajů, bezpečnostní opatření a výmaz na konci.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Další zpracovatelé se uvádějí předem a mění se jen s oznámením, proti kterému může klient vznést námitku. Seznam pokrývá vše, co má přístup k datům klienta, včetně hostingu, sledování chyb a nástrojů pro generování kódu pomocí AI.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Místa zpracování a uložení se uvádějí. Doporučená výchozí hodnota: pouze EU/EHP, jinak doložený mechanismus předávání.</w:t>
      </w:r>
    </w:p>
    <w:p>
      <w:pPr>
        <w:spacing w:after="80" w:line="300" w:lineRule="auto"/>
        <w:numPr>
          <w:ilvl w:val="0"/>
          <w:numId w:val="1"/>
        </w:numPr>
      </w:pPr>
      <w:r>
        <w:rPr>
          <w:rFonts w:ascii="Schibsted Grotesk" w:hAnsi="Schibsted Grotesk"/>
          <w:sz w:val="21"/>
          <w:color w:val="121B17"/>
        </w:rPr>
        <w:t xml:space="preserve">Dodavatel smí spolupráci veřejně popisovat jen anonymizovaně, dokud klient písemně neschválí uvedení jména.</w:t>
      </w:r>
    </w:p>
    <w:p>
      <w:pPr>
        <w:spacing w:after="200" w:line="300" w:lineRule="auto"/>
        <w:pBdr>
          <w:bottom w:val="single" w:sz="4" w:space="4" w:color="D3D9D6"/>
        </w:pBdr>
      </w:pPr>
    </w:p>
    <w:p>
      <w:pPr>
        <w:spacing w:after="160" w:line="300" w:lineRule="auto"/>
      </w:pPr>
      <w:r>
        <w:rPr>
          <w:rFonts w:ascii="Schibsted Grotesk" w:hAnsi="Schibsted Grotesk"/>
          <w:i/>
          <w:sz w:val="21"/>
          <w:color w:val="121B17"/>
        </w:rPr>
        <w:t xml:space="preserve">Verze: doplňte. Podepisují: obě technické kontaktní osoby, tedy lidé, kteří práci dělají a přijímají, ne jen ti, kdo ji fakturují.</w:t>
      </w:r>
    </w:p>
    <w:p>
      <w:pPr>
        <w:spacing w:after="160" w:line="300" w:lineRule="auto"/>
      </w:pPr>
      <w:r>
        <w:rPr>
          <w:rFonts w:ascii="Schibsted Grotesk" w:hAnsi="Schibsted Grotesk"/>
          <w:i/>
          <w:sz w:val="21"/>
          <w:color w:val="121B17"/>
        </w:rPr>
        <w:t xml:space="preserve">Dohoda o spolupráci, verze šablony 1.0, vydala Zapolu s.r.o., zapolu.com, pod licencí CC BY 4.0 (creativecommons.org/licenses/by/4.0/).</w:t>
      </w:r>
    </w:p>
    <w:sectPr>
      <w:footerReference w:type="default" r:id="rIdFooter"/>
      <w:pgSz w:w="11906" w:h="16838"/>
      <w:pgMar w:top="1134" w:right="1134" w:bottom="1020" w:left="1134" w:header="680" w:footer="567"/>
    </w:sectPr>
  </w:body>
</w:document>
</file>

<file path=word/footer1.xml><?xml version="1.0" encoding="utf-8"?>
<w:ftr xmlns:w="http://schemas.openxmlformats.org/wordprocessingml/2006/main" xmlns:r="http://schemas.openxmlformats.org/officeDocument/2006/relationships">
  <w:p>
    <w:pPr>
      <w:pBdr>
        <w:top w:val="single" w:sz="4" w:space="8" w:color="D3D9D6"/>
      </w:pBdr>
    </w:pPr>
    <w:r>
      <w:rPr>
        <w:rFonts w:ascii="Schibsted Grotesk" w:hAnsi="Schibsted Grotesk"/>
        <w:sz w:val="14"/>
        <w:color w:val="4B5952"/>
      </w:rPr>
      <w:t xml:space="preserve">Zapolu s.r.o., zapolu.com</w:t>
    </w:r>
  </w:p>
</w:ftr>
</file>

<file path=word/numbering.xml><?xml version="1.0" encoding="utf-8"?>
<w:numbering xmlns:w="http://schemas.openxmlformats.org/wordprocessingml/2006/main" xmlns:r="http://schemas.openxmlformats.org/officeDocument/2006/relationships">
  <w:abstractNum w:abstractNumId="0">
    <w:lvl w:ilvl="0">
      <w:start w:val="1"/>
      <w:numFmt w:val="bullet"/>
      <w:lvlText w:val="•"/>
      <w:lvlJc w:val="left"/>
      <w:pPr>
        <w:ind w:left="340" w:hanging="227"/>
      </w:pPr>
      <w:rPr>
        <w:rFonts w:ascii="Schibsted Grotesk" w:hAnsi="Schibsted Grotesk"/>
      </w:rPr>
    </w:lvl>
  </w:abstractNum>
  <w:num w:numId="1">
    <w:abstractNumId w:val="0"/>
  </w:num>
</w:numbering>
</file>

<file path=word/_rels/document.xml.rels><?xml version="1.0" encoding="UTF-8" standalone="yes"?>
<Relationships xmlns="http://schemas.openxmlformats.org/package/2006/relationships">
<Relationship Id="rIdNumbering" Type="http://schemas.openxmlformats.org/officeDocument/2006/relationships/numbering" Target="numbering.xml"/>
<Relationship Id="rIdFooter" Type="http://schemas.openxmlformats.org/officeDocument/2006/relationships/footer" Target="footer1.xml"/>
<Relationship Id="rIdLink0" Type="http://schemas.openxmlformats.org/officeDocument/2006/relationships/hyperlink" Target="https://zapolu.com/cs/downloads/zapolu-engagement-template.pdf" TargetMode="External"/>
</Relationships>
</file>